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both"/>
        <w:rPr>
          <w:rFonts w:hint="eastAsia" w:ascii="黑体" w:hAnsi="黑体" w:eastAsia="黑体" w:cs="黑体"/>
          <w:color w:val="000000"/>
          <w:kern w:val="0"/>
          <w:sz w:val="32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44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44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国家园林城市评选标准</w:t>
      </w:r>
    </w:p>
    <w:p>
      <w:pPr>
        <w:spacing w:line="400" w:lineRule="exact"/>
        <w:rPr>
          <w:color w:val="000000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956"/>
        <w:gridCol w:w="1572"/>
        <w:gridCol w:w="2898"/>
        <w:gridCol w:w="1120"/>
        <w:gridCol w:w="1343"/>
        <w:gridCol w:w="1337"/>
        <w:gridCol w:w="4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tblHeader/>
          <w:jc w:val="center"/>
        </w:trPr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目标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8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指标释义</w:t>
            </w:r>
          </w:p>
        </w:tc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指标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2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具体要求</w:t>
            </w:r>
          </w:p>
        </w:tc>
        <w:tc>
          <w:tcPr>
            <w:tcW w:w="47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  <w:lang w:val="en-US" w:eastAsia="zh-CN"/>
              </w:rPr>
              <w:t>评分细则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tblHeader/>
          <w:jc w:val="center"/>
        </w:trPr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国家生态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园林城市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国家园林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  <w:t>城市</w:t>
            </w:r>
          </w:p>
        </w:tc>
        <w:tc>
          <w:tcPr>
            <w:tcW w:w="47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黑体" w:hAnsi="黑体" w:eastAsia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7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5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宜居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宜居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一、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宜居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绿地率（%）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建成区内各类绿地面积（km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）占建成区面积（km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）的百分比。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≥40%；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城市各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城区最低值不低于28%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≥40%；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城市各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城区最低值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不低于25%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7分。城市各城区最低值和城市绿地率均达标得7分。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城市各城区最低值达标，城市绿地率较达标值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低1个（含）百分点以内得5分。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城市各城区最低值达标，城市绿地率较达标值低1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2个（含）百分点得3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分。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城市各城区最低值达标，城市绿地率较达标值低2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3个（含）百分点得1分。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城市各城区最低值不达标或城市绿地率较达标值低3个百分点以上，不得分。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6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城市绿化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覆盖率（%）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建成区内所有植被的垂直投影面积（km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）占建成区面积（km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）的百分比。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底线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≥43%；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乔灌木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占比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≥70%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≥41%；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乔灌木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占比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≥60%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城市绿化覆盖率和乔灌木占比均达标，得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城市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绿化覆盖率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乔灌木占比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两项中任何一项不达标，不得分。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人均公园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绿地面积（m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/人）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建成区内城区人口人均拥有的公园绿地面积（m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highlight w:val="none"/>
                <w:lang w:val="en-US" w:eastAsia="zh-CN"/>
              </w:rPr>
              <w:t>/人）。（城区人口包括户籍人口和暂住人口；毗邻建成区能够满足百姓日常休闲游憩的公园绿地可纳入统计。）</w:t>
            </w:r>
          </w:p>
          <w:p>
            <w:pPr>
              <w:pStyle w:val="2"/>
              <w:rPr>
                <w:rFonts w:hint="eastAsia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底线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spacing w:val="-20"/>
                <w:kern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0"/>
                <w:sz w:val="22"/>
                <w:szCs w:val="22"/>
              </w:rPr>
              <w:t>≥14.8m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kern w:val="20"/>
                <w:sz w:val="22"/>
                <w:szCs w:val="22"/>
              </w:rPr>
              <w:t>/人；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城市各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城区最低值不低于5.5m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≥12m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szCs w:val="22"/>
              </w:rPr>
              <w:t>/人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城市各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城区最低值不低于5.0m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/人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人均公园绿地面积和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城市各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城区最低值均达标，得7分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人均公园绿地面积和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城市各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城区最低值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两项中任何一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项不达标，不得分。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公园绿化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活动场地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服务半径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覆盖率（%）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公园绿化活动场地服务半径覆盖的居住用地面积（km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）占居住用地总面积（km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）的百分比。（5000m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及以上公园绿化活动场地按500米服务半径测算；400—5000m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的公园绿化活动场地按300米服务半径测算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底线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≥90%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≥85%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公园绿化活动场地服务半径覆盖率达标，得7分；不达标，不得分。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0" w:hRule="atLeast"/>
          <w:jc w:val="center"/>
        </w:trPr>
        <w:tc>
          <w:tcPr>
            <w:tcW w:w="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城市绿道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服务半径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覆盖率（%）</w:t>
            </w:r>
          </w:p>
        </w:tc>
        <w:tc>
          <w:tcPr>
            <w:tcW w:w="28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建成区内绿道两侧1公里服务范围（步行15分钟或骑行5分钟）覆盖的居住用地面积占总居住用地面积的百分比。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万人拥有绿道长度≥1.2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公里；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服务半径覆盖率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≥70%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万人拥有绿道长度≥1.0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公里；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服务半径覆盖率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≥60%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万人拥有绿道长度达标得3分。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较达标值低0.1公里（含）以内得2分。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较达标值低0.1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0.2公里（含）得1分。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较达标值低0.2公里以上不得分。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服务半径覆盖率达标得3分。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较达标值低2个百分点（含）以内得2分。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5个百分点（含）得1分。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较达标值低5个百分点以上不得分。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10万人拥有综合公园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个数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（个/10万人）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建成区内城区人口每10万人拥有的综合公园个数（个/10万人）。（城区人口包括户籍人口和暂住人口，大于等于50万人口城市，综合公园面积应大于10公顷；小于50万人口城市，综合公园面积应大于5公顷。）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≥1.5个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≥1个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10万人拥有综合公园个数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达标得5分。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较达标值低0.1个（含）以内得4分。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较达标值低0.1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0.2个（含）得3分。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较达标值低0.2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0.3个（含）得1分。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较达标值低0.3个以上不得分。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生态廊道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达标率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建成区内组团之间净宽度不小于100米的生态廊道长度与城市组团间应设置的净宽度不小于100米且连续贯通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生态廊道长度比率。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5分。城市生态廊道达标率100%得5分。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达标率90（含）—100%得4分。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达标率80（含）—90%得3分。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达标率70（含）—80%得2分。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达标率60（含）—70%得1分。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达标率低于60%不得分。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3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生物多样性保护达标率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地级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以上城市至少有一个符合标准规范要求，面积大于20公顷的植物园；近三年乡土适生植物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应用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面积占新建、改建绿地面积比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大于80%；具备连续三年的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城市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生物多样性监测数据。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植物园达标得2分，不达标不得分（不考核此项指标的城市不扣分）。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乡土适生植物应用比例达标得2分。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较达标值低2个（含）百分点以内得1分。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较达标值低2个百分点以上不得分。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城市生物多样性监测达标得2分。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连续监测2年得1分。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连续监测少于2年不得分。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舒适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二、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舒适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城市林荫路覆盖率（%）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建成区内城市次干路、支路的林荫路长度（km）占城市次干路、支路总长度（km）的百分比。（林荫路指绿化覆盖率达到90%以上的人行道、自行车道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底线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≥85%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≥70%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城市林荫路覆盖率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达标得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7分;不达标,不得分。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城市道路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绿化达标率（%）</w:t>
            </w:r>
          </w:p>
        </w:tc>
        <w:tc>
          <w:tcPr>
            <w:tcW w:w="28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建成区内道路绿化达到《城市道路绿化设计标准》的长度（km）占城市道路总长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（km）的百分比。</w:t>
            </w:r>
          </w:p>
        </w:tc>
        <w:tc>
          <w:tcPr>
            <w:tcW w:w="112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≥85%</w:t>
            </w:r>
          </w:p>
        </w:tc>
        <w:tc>
          <w:tcPr>
            <w:tcW w:w="13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≥80%</w:t>
            </w:r>
          </w:p>
        </w:tc>
        <w:tc>
          <w:tcPr>
            <w:tcW w:w="4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5分。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城市道路绿化达标率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达标得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较达标值低1个（含）百分点以内得4分。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较达标值低1—2个（含）百分点得3分。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较达标值低2—3个（含）百分点得1分。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较达标值低3个百分点以上不得分。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2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立体绿化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建成区内实施立体绿化的项目数量（个）占项目总数量（个）的百分比。（考核项目为近三年新建、改建的公共建筑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、工业建筑和市政交通设施。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</w:rPr>
              <w:t>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≥15%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≥10%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5分。立体绿化实施率达标得5分。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百分点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得4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较达标值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百分点得3分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较达标值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百分点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较达标值低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3个百分点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园林式居住区（单位）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建成区内园林式居住区（单位）的数量（个）占建成区内居住区（单位）总数量（个）的百分比。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≥60%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≥50%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园林式居住区（单位）达标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0—1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百分点得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1—2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百分点得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2—3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百分点得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3—4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百分点得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4—5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百分点得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1分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较达标值低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个百分点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以上不得分。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韧性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安全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韧性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建成区蓝绿空间占比（%）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建成区各类绿地和水域总面积（km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）占建成区总面积（km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）的百分比。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≥45%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≥43%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建成区蓝绿空间占比达标得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5分。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0—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百分点得4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分。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达标值低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百分点得3分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达标值低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百分点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widowControl/>
              <w:spacing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3个百分点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防灾避险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绿地设施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建成区达到《城市绿地防灾避险设计导则》设施要求的防灾避险绿地数量（个）占纳入城市防灾避险体系全部防灾避险绿地数量（个）的百分比。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防灾避险绿地设施达标率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达标得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达标率95（含）—100%得4分。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达标率90（含）—95%得3分。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达标率85（含）—90%得1分。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达标率低于85%不得分。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城市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湿地保护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实施率（%）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建成区内实施保护的城市湿地面积（km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）占建成区内城市湿地总面积（km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）的百分比。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pStyle w:val="2"/>
              <w:widowControl/>
              <w:spacing w:after="0" w:line="360" w:lineRule="exact"/>
              <w:ind w:left="0"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5分。城市湿地保护实施率达标得5分。</w:t>
            </w:r>
          </w:p>
          <w:p>
            <w:pPr>
              <w:pStyle w:val="2"/>
              <w:widowControl/>
              <w:spacing w:after="0" w:line="360" w:lineRule="exact"/>
              <w:ind w:left="0"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百分点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以内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得4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分。</w:t>
            </w:r>
          </w:p>
          <w:p>
            <w:pPr>
              <w:pStyle w:val="2"/>
              <w:widowControl/>
              <w:spacing w:after="0" w:line="360" w:lineRule="exact"/>
              <w:ind w:left="0"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达标值低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百分点得3分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widowControl/>
              <w:spacing w:after="0" w:line="360" w:lineRule="exact"/>
              <w:ind w:left="0"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达标值低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3个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百分点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>
            <w:pPr>
              <w:pStyle w:val="2"/>
              <w:widowControl/>
              <w:spacing w:after="0" w:line="360" w:lineRule="exact"/>
              <w:ind w:left="0" w:left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3个百分点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以上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四、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风貌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特色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四、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风貌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特色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具有历史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价值的公园保护率（%）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建立具有历史价值的公园保护名录，按照名录和保护要求实施保护的具有历史价值的公园数量（个）占纳入名录具有历史价值的公园总数量的百分比。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建立具有历史价值的公园保护名录得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2分。</w:t>
            </w:r>
          </w:p>
          <w:p>
            <w:pPr>
              <w:widowControl/>
              <w:spacing w:after="0"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具有历史价值的公园保护率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达标得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2分，不达标,不得分。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4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古树名木及后备资源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保护率（%）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建成区内受到保护的古树名木及后备资源（棵）占建成区内古树名木及后备资源总量（棵）的百分比。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4分。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制定并实施古树名木和后备资源保护措施得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2分。</w:t>
            </w:r>
          </w:p>
          <w:p>
            <w:pPr>
              <w:widowControl/>
              <w:spacing w:after="0" w:line="36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古树名木和后备资源保护率达标得2分,不达标,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不得分。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园林绿化工持证上岗率（%）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园林绿化工程中持证人员数量（人）占该工程技术工种上岗人员总数量(人）的百分比。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导向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100%；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三级工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以上≥20%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100%</w:t>
            </w:r>
          </w:p>
        </w:tc>
        <w:tc>
          <w:tcPr>
            <w:tcW w:w="4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国家园林城市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园林绿化工持证上岗率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达标得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达标值低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1个（含）百分点以内得3分。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达标值低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1—2个（含）百分点得2分。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达标值低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2—3个（含）百分点得1分。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达标值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低3个百分点以上不得分。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国家生态园林城市园林绿化工持证上岗率达标得2分。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较达标值低2个（含）百分点以内得1分。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较达标值低2个百分点以上不得分。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其中三级工以上达标得2分。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较达标值低2个（含）百分点以内得1分。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较达标值低2个百分点以上不得分。</w:t>
            </w:r>
          </w:p>
        </w:tc>
      </w:tr>
    </w:tbl>
    <w:p>
      <w:pPr>
        <w:spacing w:line="400" w:lineRule="exact"/>
        <w:rPr>
          <w:color w:val="000000"/>
          <w:sz w:val="24"/>
          <w:szCs w:val="24"/>
        </w:rPr>
      </w:pPr>
    </w:p>
    <w:p/>
    <w:p/>
    <w:sectPr>
      <w:footerReference r:id="rId3" w:type="default"/>
      <w:pgSz w:w="16838" w:h="11906" w:orient="landscape"/>
      <w:pgMar w:top="1644" w:right="1440" w:bottom="1417" w:left="1440" w:header="851" w:footer="992" w:gutter="0"/>
      <w:pgNumType w:fmt="numberInDash" w:start="1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eastAsia="等线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FEEE02C"/>
    <w:rsid w:val="2DF6AE8E"/>
    <w:rsid w:val="31350DF5"/>
    <w:rsid w:val="39756544"/>
    <w:rsid w:val="3C9B8CFD"/>
    <w:rsid w:val="3CF70630"/>
    <w:rsid w:val="3E7ED1EA"/>
    <w:rsid w:val="3EFDB370"/>
    <w:rsid w:val="3FFAC9BF"/>
    <w:rsid w:val="3FFCC8A6"/>
    <w:rsid w:val="47FE4FE3"/>
    <w:rsid w:val="47FFBE26"/>
    <w:rsid w:val="5FEEE02C"/>
    <w:rsid w:val="69FD35D0"/>
    <w:rsid w:val="6BF364FD"/>
    <w:rsid w:val="76BBA6F7"/>
    <w:rsid w:val="77B724BA"/>
    <w:rsid w:val="7BFF6AD2"/>
    <w:rsid w:val="7DB54074"/>
    <w:rsid w:val="7DED3F82"/>
    <w:rsid w:val="7DEF5D0B"/>
    <w:rsid w:val="7F75D508"/>
    <w:rsid w:val="7F8CEB36"/>
    <w:rsid w:val="7FAC1A34"/>
    <w:rsid w:val="7FFED2F1"/>
    <w:rsid w:val="87FFE137"/>
    <w:rsid w:val="BDF944E5"/>
    <w:rsid w:val="D7DB5F1C"/>
    <w:rsid w:val="EBDD5B56"/>
    <w:rsid w:val="EDB9FA56"/>
    <w:rsid w:val="EF9506D9"/>
    <w:rsid w:val="F6F70B14"/>
    <w:rsid w:val="F7FE3F7F"/>
    <w:rsid w:val="FEDE30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20.6666666666667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2021-12-25T09:22:00Z</dcterms:created>
  <dc:creator>xucc</dc:creator>
  <cp:lastModifiedBy>仰望日光</cp:lastModifiedBy>
  <cp:lastPrinted>2022-01-11T14:16:05Z</cp:lastPrinted>
  <dcterms:modified xsi:type="dcterms:W3CDTF">2022-01-17T04:05:20Z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35FC4C9165F544C69B2DD273C96EA941</vt:lpwstr>
  </property>
</Properties>
</file>