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报价表</w:t>
      </w:r>
    </w:p>
    <w:tbl>
      <w:tblPr>
        <w:tblStyle w:val="5"/>
        <w:tblpPr w:leftFromText="180" w:rightFromText="180" w:vertAnchor="text" w:horzAnchor="page" w:tblpXSpec="center" w:tblpY="699"/>
        <w:tblOverlap w:val="never"/>
        <w:tblW w:w="95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2563"/>
        <w:gridCol w:w="1064"/>
        <w:gridCol w:w="993"/>
        <w:gridCol w:w="1053"/>
        <w:gridCol w:w="11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规格或型号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15厚C25混凝土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C25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立方米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60"/>
              </w:tabs>
              <w:ind w:firstLine="280" w:firstLineChars="10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烧面芝麻灰平道牙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40"/>
              <w:jc w:val="righ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600*100*150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12石子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12石子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立方米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扁铁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4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宽10mm*厚5mm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1.3厚红色现浇塑胶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1.3cm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硅PU路面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5mm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钢筋网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直径5mm钢筋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55.2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不锈钢装饰井盖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600*400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隔油池井盖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根据现场实际测量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84"/>
              </w:tabs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单位名称（盖章）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注：1、以上报价均包含税费（增值税专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用发票）、运费及安装费用（含现场安装人员安全、不可预见费）等一切费用。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中标后10个日历天内完成所有物资供应及安装，费用按实结算，结算单价为中标单价，结算总价不得超过最高限价，超过部分由中标人自行承担。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包安装，安装内容</w:t>
      </w:r>
      <w:r>
        <w:rPr>
          <w:rFonts w:hint="eastAsia"/>
        </w:rPr>
        <w:t>包含但不限于场地平整、碎石铺设、混凝土浇筑、路沿石安装、塑胶铺设、硅PU路面铺设等</w:t>
      </w:r>
    </w:p>
    <w:p>
      <w:pPr>
        <w:tabs>
          <w:tab w:val="left" w:pos="111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09E6"/>
    <w:multiLevelType w:val="singleLevel"/>
    <w:tmpl w:val="138709E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346</Characters>
  <Lines>2</Lines>
  <Paragraphs>1</Paragraphs>
  <ScaleCrop>false</ScaleCrop>
  <LinksUpToDate>false</LinksUpToDate>
  <CharactersWithSpaces>405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2024-04-26T16:36:00Z</dcterms:created>
  <dc:creator>Administrator</dc:creator>
  <cp:lastModifiedBy>iPhone</cp:lastModifiedBy>
  <dcterms:modified xsi:type="dcterms:W3CDTF">2024-04-30T22:53:48Z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8CF534393D842C77FC053166DAD5466B_33</vt:lpwstr>
  </property>
</Properties>
</file>