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4A9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78"/>
          <w:szCs w:val="78"/>
        </w:rPr>
      </w:pPr>
    </w:p>
    <w:p w14:paraId="268D1E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78"/>
          <w:szCs w:val="78"/>
        </w:rPr>
      </w:pPr>
      <w:r>
        <w:rPr>
          <w:rFonts w:hint="eastAsia" w:ascii="宋体" w:hAnsi="宋体" w:eastAsia="宋体" w:cs="宋体"/>
          <w:b/>
          <w:bCs/>
          <w:i w:val="0"/>
          <w:iCs w:val="0"/>
          <w:caps w:val="0"/>
          <w:color w:val="auto"/>
          <w:spacing w:val="0"/>
          <w:sz w:val="78"/>
          <w:szCs w:val="78"/>
          <w:shd w:val="clear" w:fill="FFFFFF"/>
        </w:rPr>
        <w:t>货物和服务项目</w:t>
      </w:r>
    </w:p>
    <w:p w14:paraId="6E2E0B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78"/>
          <w:szCs w:val="78"/>
          <w:shd w:val="clear" w:fill="FFFFFF"/>
        </w:rPr>
      </w:pPr>
      <w:r>
        <w:rPr>
          <w:rFonts w:hint="eastAsia" w:ascii="宋体" w:hAnsi="宋体" w:eastAsia="宋体" w:cs="宋体"/>
          <w:b/>
          <w:bCs/>
          <w:i w:val="0"/>
          <w:iCs w:val="0"/>
          <w:caps w:val="0"/>
          <w:color w:val="auto"/>
          <w:spacing w:val="0"/>
          <w:sz w:val="78"/>
          <w:szCs w:val="78"/>
          <w:shd w:val="clear" w:fill="FFFFFF"/>
        </w:rPr>
        <w:t>招标文件</w:t>
      </w:r>
    </w:p>
    <w:p w14:paraId="6D0EDA55">
      <w:pPr>
        <w:rPr>
          <w:rFonts w:hint="eastAsia" w:ascii="宋体" w:hAnsi="宋体" w:eastAsia="宋体" w:cs="宋体"/>
          <w:b/>
          <w:bCs/>
          <w:i w:val="0"/>
          <w:iCs w:val="0"/>
          <w:caps w:val="0"/>
          <w:color w:val="auto"/>
          <w:spacing w:val="0"/>
          <w:sz w:val="78"/>
          <w:szCs w:val="78"/>
          <w:shd w:val="clear" w:fill="FFFFFF"/>
        </w:rPr>
      </w:pPr>
    </w:p>
    <w:p w14:paraId="0C3965CB">
      <w:pPr>
        <w:rPr>
          <w:rFonts w:hint="eastAsia" w:ascii="宋体" w:hAnsi="宋体" w:eastAsia="宋体" w:cs="宋体"/>
          <w:b/>
          <w:bCs/>
          <w:i w:val="0"/>
          <w:iCs w:val="0"/>
          <w:caps w:val="0"/>
          <w:color w:val="auto"/>
          <w:spacing w:val="0"/>
          <w:sz w:val="78"/>
          <w:szCs w:val="78"/>
          <w:shd w:val="clear" w:fill="FFFFFF"/>
        </w:rPr>
      </w:pPr>
    </w:p>
    <w:p w14:paraId="10160527">
      <w:pPr>
        <w:rPr>
          <w:rFonts w:hint="eastAsia"/>
          <w:color w:val="auto"/>
        </w:rPr>
      </w:pPr>
    </w:p>
    <w:p w14:paraId="7A9A5C3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lang w:eastAsia="zh-CN"/>
        </w:rPr>
      </w:pPr>
      <w:r>
        <w:rPr>
          <w:rFonts w:hint="eastAsia" w:ascii="宋体" w:hAnsi="宋体" w:eastAsia="宋体" w:cs="宋体"/>
          <w:b/>
          <w:bCs/>
          <w:color w:val="auto"/>
          <w:sz w:val="27"/>
          <w:szCs w:val="27"/>
        </w:rPr>
        <w:t>项目名称：</w:t>
      </w:r>
      <w:r>
        <w:rPr>
          <w:rFonts w:hint="eastAsia" w:cs="宋体"/>
          <w:b/>
          <w:bCs/>
          <w:color w:val="auto"/>
          <w:sz w:val="27"/>
          <w:szCs w:val="27"/>
          <w:lang w:val="en-US" w:eastAsia="zh-CN"/>
        </w:rPr>
        <w:t>莆田城市园林发展集团有限公司</w:t>
      </w:r>
      <w:r>
        <w:rPr>
          <w:rFonts w:hint="eastAsia" w:cs="宋体"/>
          <w:b/>
          <w:bCs/>
          <w:color w:val="auto"/>
          <w:sz w:val="27"/>
          <w:szCs w:val="27"/>
          <w:lang w:eastAsia="zh-CN"/>
        </w:rPr>
        <w:t>资产评估项目</w:t>
      </w:r>
    </w:p>
    <w:p w14:paraId="217AD83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olor w:val="auto"/>
        </w:rPr>
      </w:pPr>
      <w:r>
        <w:rPr>
          <w:rFonts w:hint="eastAsia" w:ascii="宋体" w:hAnsi="宋体" w:eastAsia="宋体" w:cs="宋体"/>
          <w:b/>
          <w:bCs/>
          <w:color w:val="auto"/>
          <w:sz w:val="27"/>
          <w:szCs w:val="27"/>
        </w:rPr>
        <w:t>备案编号：</w:t>
      </w:r>
      <w:r>
        <w:rPr>
          <w:rFonts w:hint="eastAsia" w:cs="宋体"/>
          <w:b/>
          <w:bCs/>
          <w:color w:val="auto"/>
          <w:sz w:val="27"/>
          <w:szCs w:val="27"/>
          <w:lang w:val="en-US" w:eastAsia="zh-CN"/>
        </w:rPr>
        <w:t>/</w:t>
      </w:r>
    </w:p>
    <w:p w14:paraId="643CB17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cs="宋体"/>
          <w:b/>
          <w:bCs/>
          <w:color w:val="0000FF"/>
          <w:sz w:val="27"/>
          <w:szCs w:val="27"/>
          <w:lang w:eastAsia="zh-CN"/>
        </w:rPr>
      </w:pPr>
      <w:r>
        <w:rPr>
          <w:rFonts w:hint="eastAsia" w:ascii="宋体" w:hAnsi="宋体" w:eastAsia="宋体" w:cs="宋体"/>
          <w:b/>
          <w:bCs/>
          <w:color w:val="auto"/>
          <w:sz w:val="27"/>
          <w:szCs w:val="27"/>
        </w:rPr>
        <w:t>项目编号：亿达莆招[2025]001号</w:t>
      </w:r>
      <w:r>
        <w:rPr>
          <w:rFonts w:hint="eastAsia" w:cs="宋体"/>
          <w:b/>
          <w:bCs/>
          <w:color w:val="auto"/>
          <w:sz w:val="27"/>
          <w:szCs w:val="27"/>
          <w:lang w:eastAsia="zh-CN"/>
        </w:rPr>
        <w:t xml:space="preserve"> </w:t>
      </w:r>
    </w:p>
    <w:p w14:paraId="0A5EBAC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p>
    <w:p w14:paraId="27D778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p>
    <w:p w14:paraId="127A05B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p>
    <w:p w14:paraId="6FF2160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p>
    <w:p w14:paraId="1B7F85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lang w:eastAsia="zh-CN"/>
        </w:rPr>
      </w:pPr>
      <w:r>
        <w:rPr>
          <w:rFonts w:hint="eastAsia" w:ascii="宋体" w:hAnsi="宋体" w:eastAsia="宋体" w:cs="宋体"/>
          <w:b/>
          <w:bCs/>
          <w:color w:val="auto"/>
          <w:sz w:val="27"/>
          <w:szCs w:val="27"/>
        </w:rPr>
        <w:t>采购人：</w:t>
      </w:r>
      <w:r>
        <w:rPr>
          <w:rFonts w:hint="eastAsia" w:cs="宋体"/>
          <w:b/>
          <w:bCs/>
          <w:color w:val="auto"/>
          <w:sz w:val="27"/>
          <w:szCs w:val="27"/>
          <w:lang w:eastAsia="zh-CN"/>
        </w:rPr>
        <w:t>莆田城市园林发展集团有限公司</w:t>
      </w:r>
    </w:p>
    <w:p w14:paraId="31ECF4BE">
      <w:pPr>
        <w:rPr>
          <w:rFonts w:hint="eastAsia"/>
          <w:color w:val="auto"/>
        </w:rPr>
      </w:pPr>
    </w:p>
    <w:p w14:paraId="432D5E4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lang w:eastAsia="zh-CN"/>
        </w:rPr>
      </w:pPr>
      <w:r>
        <w:rPr>
          <w:rFonts w:hint="eastAsia" w:ascii="宋体" w:hAnsi="宋体" w:eastAsia="宋体" w:cs="宋体"/>
          <w:b/>
          <w:bCs/>
          <w:color w:val="auto"/>
          <w:sz w:val="27"/>
          <w:szCs w:val="27"/>
        </w:rPr>
        <w:t>代理机构：</w:t>
      </w:r>
      <w:r>
        <w:rPr>
          <w:rFonts w:hint="eastAsia" w:cs="宋体"/>
          <w:b/>
          <w:bCs/>
          <w:color w:val="auto"/>
          <w:sz w:val="27"/>
          <w:szCs w:val="27"/>
          <w:lang w:eastAsia="zh-CN"/>
        </w:rPr>
        <w:t>福建省亿达工程咨询有限公司</w:t>
      </w:r>
    </w:p>
    <w:p w14:paraId="170F1D8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7702E8B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编制时间：202</w:t>
      </w:r>
      <w:r>
        <w:rPr>
          <w:rFonts w:hint="eastAsia" w:cs="宋体"/>
          <w:b/>
          <w:bCs/>
          <w:i w:val="0"/>
          <w:iCs w:val="0"/>
          <w:caps w:val="0"/>
          <w:color w:val="auto"/>
          <w:spacing w:val="0"/>
          <w:sz w:val="27"/>
          <w:szCs w:val="27"/>
          <w:shd w:val="clear" w:fill="FFFFFF"/>
          <w:lang w:val="en-US" w:eastAsia="zh-CN"/>
        </w:rPr>
        <w:t>5</w:t>
      </w:r>
      <w:r>
        <w:rPr>
          <w:rFonts w:hint="eastAsia" w:ascii="宋体" w:hAnsi="宋体" w:eastAsia="宋体" w:cs="宋体"/>
          <w:b/>
          <w:bCs/>
          <w:i w:val="0"/>
          <w:iCs w:val="0"/>
          <w:caps w:val="0"/>
          <w:color w:val="auto"/>
          <w:spacing w:val="0"/>
          <w:sz w:val="27"/>
          <w:szCs w:val="27"/>
          <w:shd w:val="clear" w:fill="FFFFFF"/>
        </w:rPr>
        <w:t>年</w:t>
      </w:r>
      <w:r>
        <w:rPr>
          <w:rFonts w:hint="eastAsia" w:cs="宋体"/>
          <w:b/>
          <w:bCs/>
          <w:i w:val="0"/>
          <w:iCs w:val="0"/>
          <w:caps w:val="0"/>
          <w:color w:val="auto"/>
          <w:spacing w:val="0"/>
          <w:sz w:val="27"/>
          <w:szCs w:val="27"/>
          <w:shd w:val="clear" w:fill="FFFFFF"/>
          <w:lang w:val="en-US" w:eastAsia="zh-CN"/>
        </w:rPr>
        <w:t>05</w:t>
      </w:r>
      <w:bookmarkStart w:id="0" w:name="_GoBack"/>
      <w:bookmarkEnd w:id="0"/>
      <w:r>
        <w:rPr>
          <w:rFonts w:hint="eastAsia" w:ascii="宋体" w:hAnsi="宋体" w:eastAsia="宋体" w:cs="宋体"/>
          <w:b/>
          <w:bCs/>
          <w:i w:val="0"/>
          <w:iCs w:val="0"/>
          <w:caps w:val="0"/>
          <w:color w:val="auto"/>
          <w:spacing w:val="0"/>
          <w:sz w:val="27"/>
          <w:szCs w:val="27"/>
          <w:shd w:val="clear" w:fill="FFFFFF"/>
        </w:rPr>
        <w:t>月</w:t>
      </w:r>
    </w:p>
    <w:p w14:paraId="563D9733">
      <w:pP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br w:type="page"/>
      </w:r>
    </w:p>
    <w:p w14:paraId="34C623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rPr>
      </w:pPr>
      <w:r>
        <w:rPr>
          <w:rFonts w:hint="eastAsia" w:ascii="宋体" w:hAnsi="宋体" w:eastAsia="宋体" w:cs="宋体"/>
          <w:i w:val="0"/>
          <w:iCs w:val="0"/>
          <w:caps w:val="0"/>
          <w:color w:val="auto"/>
          <w:spacing w:val="0"/>
          <w:sz w:val="21"/>
          <w:szCs w:val="21"/>
          <w:shd w:val="clear" w:fill="FFFFFF"/>
        </w:rPr>
        <w:t> </w:t>
      </w:r>
      <w:r>
        <w:rPr>
          <w:rFonts w:hint="eastAsia" w:ascii="宋体" w:hAnsi="宋体" w:eastAsia="宋体" w:cs="宋体"/>
          <w:b/>
          <w:bCs/>
          <w:i w:val="0"/>
          <w:iCs w:val="0"/>
          <w:caps w:val="0"/>
          <w:color w:val="auto"/>
          <w:spacing w:val="0"/>
          <w:sz w:val="39"/>
          <w:szCs w:val="39"/>
          <w:shd w:val="clear" w:fill="FFFFFF"/>
        </w:rPr>
        <w:t>第一章 投标邀请</w:t>
      </w:r>
    </w:p>
    <w:p w14:paraId="4AD4CC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u w:val="single"/>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lang w:val="en-US" w:eastAsia="zh-CN"/>
        </w:rPr>
        <w:t>受</w:t>
      </w:r>
      <w:r>
        <w:rPr>
          <w:rFonts w:hint="eastAsia" w:ascii="宋体" w:hAnsi="宋体" w:eastAsia="宋体" w:cs="宋体"/>
          <w:i w:val="0"/>
          <w:iCs w:val="0"/>
          <w:caps w:val="0"/>
          <w:color w:val="auto"/>
          <w:spacing w:val="0"/>
          <w:sz w:val="21"/>
          <w:szCs w:val="21"/>
          <w:u w:val="single"/>
          <w:shd w:val="clear" w:fill="FFFFFF"/>
          <w:lang w:val="en-US" w:eastAsia="zh-CN"/>
        </w:rPr>
        <w:t>莆田城市园林发展集团有限公司</w:t>
      </w:r>
      <w:r>
        <w:rPr>
          <w:rFonts w:hint="eastAsia" w:ascii="宋体" w:hAnsi="宋体" w:eastAsia="宋体" w:cs="宋体"/>
          <w:i w:val="0"/>
          <w:iCs w:val="0"/>
          <w:caps w:val="0"/>
          <w:color w:val="auto"/>
          <w:spacing w:val="0"/>
          <w:sz w:val="21"/>
          <w:szCs w:val="21"/>
          <w:shd w:val="clear" w:fill="FFFFFF"/>
          <w:lang w:val="en-US" w:eastAsia="zh-CN"/>
        </w:rPr>
        <w:t>委托</w:t>
      </w:r>
      <w:r>
        <w:rPr>
          <w:rFonts w:hint="eastAsia" w:ascii="宋体" w:hAnsi="宋体" w:eastAsia="宋体" w:cs="宋体"/>
          <w:i w:val="0"/>
          <w:iCs w:val="0"/>
          <w:caps w:val="0"/>
          <w:color w:val="auto"/>
          <w:spacing w:val="0"/>
          <w:sz w:val="21"/>
          <w:szCs w:val="21"/>
          <w:shd w:val="clear" w:fill="FFFFFF"/>
        </w:rPr>
        <w:t>组织</w:t>
      </w:r>
      <w:r>
        <w:rPr>
          <w:rFonts w:hint="eastAsia" w:ascii="宋体" w:hAnsi="宋体" w:eastAsia="宋体" w:cs="宋体"/>
          <w:i w:val="0"/>
          <w:iCs w:val="0"/>
          <w:caps w:val="0"/>
          <w:color w:val="auto"/>
          <w:spacing w:val="0"/>
          <w:sz w:val="21"/>
          <w:szCs w:val="21"/>
          <w:u w:val="single"/>
          <w:shd w:val="clear" w:fill="FFFFFF"/>
          <w:lang w:eastAsia="zh-CN"/>
        </w:rPr>
        <w:t>莆田城市园林发展集团有限公司资产评估项目</w:t>
      </w:r>
      <w:r>
        <w:rPr>
          <w:rFonts w:hint="eastAsia" w:ascii="宋体" w:hAnsi="宋体" w:eastAsia="宋体" w:cs="宋体"/>
          <w:i w:val="0"/>
          <w:iCs w:val="0"/>
          <w:caps w:val="0"/>
          <w:color w:val="auto"/>
          <w:spacing w:val="0"/>
          <w:sz w:val="21"/>
          <w:szCs w:val="21"/>
          <w:shd w:val="clear" w:fill="FFFFFF"/>
        </w:rPr>
        <w:t>（以下简称：“本项目”）的政府采购活动，现邀请供应商参加投标。</w:t>
      </w:r>
    </w:p>
    <w:p w14:paraId="019034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right="0" w:firstLine="542" w:firstLineChars="200"/>
        <w:jc w:val="left"/>
        <w:textAlignment w:val="auto"/>
        <w:rPr>
          <w:rFonts w:hint="eastAsia" w:ascii="宋体" w:hAnsi="宋体" w:eastAsia="宋体" w:cs="宋体"/>
          <w:b/>
          <w:bCs/>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7"/>
          <w:szCs w:val="27"/>
          <w:shd w:val="clear" w:fill="FFFFFF"/>
        </w:rPr>
        <w:t>1、备案编号：</w:t>
      </w:r>
      <w:r>
        <w:rPr>
          <w:rFonts w:hint="eastAsia" w:cs="宋体"/>
          <w:b/>
          <w:bCs/>
          <w:i w:val="0"/>
          <w:iCs w:val="0"/>
          <w:caps w:val="0"/>
          <w:color w:val="auto"/>
          <w:spacing w:val="0"/>
          <w:sz w:val="27"/>
          <w:szCs w:val="27"/>
          <w:shd w:val="clear" w:fill="FFFFFF"/>
          <w:lang w:val="en-US" w:eastAsia="zh-CN"/>
        </w:rPr>
        <w:t>/</w:t>
      </w:r>
    </w:p>
    <w:p w14:paraId="396CD4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right="0" w:firstLine="542" w:firstLineChars="200"/>
        <w:jc w:val="left"/>
        <w:textAlignment w:val="auto"/>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bCs/>
          <w:i w:val="0"/>
          <w:iCs w:val="0"/>
          <w:caps w:val="0"/>
          <w:color w:val="auto"/>
          <w:spacing w:val="0"/>
          <w:sz w:val="27"/>
          <w:szCs w:val="27"/>
          <w:shd w:val="clear" w:fill="FFFFFF"/>
        </w:rPr>
        <w:t>2、项目编号：</w:t>
      </w:r>
      <w:r>
        <w:rPr>
          <w:rFonts w:hint="eastAsia" w:cs="宋体"/>
          <w:b w:val="0"/>
          <w:bCs w:val="0"/>
          <w:i w:val="0"/>
          <w:iCs w:val="0"/>
          <w:caps w:val="0"/>
          <w:color w:val="auto"/>
          <w:spacing w:val="0"/>
          <w:kern w:val="0"/>
          <w:sz w:val="21"/>
          <w:szCs w:val="21"/>
          <w:shd w:val="clear" w:fill="FFFFFF"/>
          <w:lang w:val="en-US" w:eastAsia="zh-CN" w:bidi="ar"/>
        </w:rPr>
        <w:t>亿达莆招[2025]001号</w:t>
      </w:r>
    </w:p>
    <w:p w14:paraId="4F91AD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right="0" w:firstLine="542" w:firstLineChars="200"/>
        <w:jc w:val="both"/>
        <w:textAlignment w:val="auto"/>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bCs/>
          <w:i w:val="0"/>
          <w:iCs w:val="0"/>
          <w:caps w:val="0"/>
          <w:color w:val="auto"/>
          <w:spacing w:val="0"/>
          <w:sz w:val="27"/>
          <w:szCs w:val="27"/>
          <w:shd w:val="clear" w:fill="FFFFFF"/>
        </w:rPr>
        <w:t>3、预算金额、</w:t>
      </w:r>
      <w:r>
        <w:rPr>
          <w:rFonts w:hint="eastAsia" w:ascii="宋体" w:hAnsi="宋体" w:eastAsia="宋体" w:cs="宋体"/>
          <w:b/>
          <w:bCs/>
          <w:i w:val="0"/>
          <w:iCs w:val="0"/>
          <w:caps w:val="0"/>
          <w:color w:val="auto"/>
          <w:spacing w:val="0"/>
          <w:sz w:val="27"/>
          <w:szCs w:val="27"/>
          <w:shd w:val="clear" w:fill="FFFFFF"/>
          <w:lang w:val="en-US" w:eastAsia="zh-CN"/>
        </w:rPr>
        <w:t>最高限价</w:t>
      </w:r>
      <w:r>
        <w:rPr>
          <w:rFonts w:hint="eastAsia" w:ascii="宋体" w:hAnsi="宋体" w:eastAsia="宋体" w:cs="宋体"/>
          <w:b/>
          <w:bCs/>
          <w:i w:val="0"/>
          <w:iCs w:val="0"/>
          <w:caps w:val="0"/>
          <w:color w:val="auto"/>
          <w:spacing w:val="0"/>
          <w:kern w:val="0"/>
          <w:sz w:val="21"/>
          <w:szCs w:val="21"/>
          <w:shd w:val="clear" w:fill="FFFFFF"/>
          <w:lang w:val="en-US" w:eastAsia="zh-CN" w:bidi="ar"/>
        </w:rPr>
        <w:t>：</w:t>
      </w:r>
      <w:r>
        <w:rPr>
          <w:rFonts w:hint="eastAsia" w:ascii="宋体" w:hAnsi="宋体" w:eastAsia="宋体" w:cs="宋体"/>
          <w:color w:val="auto"/>
          <w:kern w:val="0"/>
          <w:sz w:val="24"/>
          <w:szCs w:val="24"/>
          <w:highlight w:val="none"/>
          <w:lang w:val="en-US" w:eastAsia="zh-CN" w:bidi="ar"/>
        </w:rPr>
        <w:t>详见招标文件</w:t>
      </w:r>
      <w:r>
        <w:rPr>
          <w:rFonts w:hint="eastAsia" w:ascii="宋体" w:hAnsi="宋体" w:eastAsia="宋体" w:cs="宋体"/>
          <w:b w:val="0"/>
          <w:bCs w:val="0"/>
          <w:i w:val="0"/>
          <w:iCs w:val="0"/>
          <w:caps w:val="0"/>
          <w:color w:val="auto"/>
          <w:spacing w:val="0"/>
          <w:kern w:val="0"/>
          <w:sz w:val="21"/>
          <w:szCs w:val="21"/>
          <w:shd w:val="clear" w:fill="FFFFFF"/>
          <w:lang w:val="en-US" w:eastAsia="zh-CN" w:bidi="ar"/>
        </w:rPr>
        <w:t>。</w:t>
      </w:r>
    </w:p>
    <w:p w14:paraId="585BD6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right="0" w:firstLine="542" w:firstLineChars="200"/>
        <w:jc w:val="left"/>
        <w:textAlignment w:val="auto"/>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bCs/>
          <w:i w:val="0"/>
          <w:iCs w:val="0"/>
          <w:caps w:val="0"/>
          <w:color w:val="auto"/>
          <w:spacing w:val="0"/>
          <w:sz w:val="27"/>
          <w:szCs w:val="27"/>
          <w:shd w:val="clear" w:fill="FFFFFF"/>
        </w:rPr>
        <w:t>4、招标内容及要求：</w:t>
      </w:r>
      <w:r>
        <w:rPr>
          <w:rFonts w:hint="eastAsia" w:ascii="宋体" w:hAnsi="宋体" w:eastAsia="宋体" w:cs="宋体"/>
          <w:color w:val="auto"/>
          <w:kern w:val="0"/>
          <w:sz w:val="24"/>
          <w:szCs w:val="24"/>
          <w:highlight w:val="none"/>
          <w:lang w:val="en-US" w:eastAsia="zh-CN" w:bidi="ar"/>
        </w:rPr>
        <w:t>详见招标文件</w:t>
      </w:r>
      <w:r>
        <w:rPr>
          <w:rFonts w:hint="eastAsia" w:ascii="宋体" w:hAnsi="宋体" w:eastAsia="宋体" w:cs="宋体"/>
          <w:b w:val="0"/>
          <w:bCs w:val="0"/>
          <w:i w:val="0"/>
          <w:iCs w:val="0"/>
          <w:caps w:val="0"/>
          <w:color w:val="auto"/>
          <w:spacing w:val="0"/>
          <w:kern w:val="0"/>
          <w:sz w:val="21"/>
          <w:szCs w:val="21"/>
          <w:shd w:val="clear" w:fill="FFFFFF"/>
          <w:lang w:val="en-US" w:eastAsia="zh-CN" w:bidi="ar"/>
        </w:rPr>
        <w:t>。</w:t>
      </w:r>
    </w:p>
    <w:p w14:paraId="141E160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right="0" w:firstLine="542" w:firstLineChars="200"/>
        <w:jc w:val="left"/>
        <w:textAlignment w:val="auto"/>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5、需要落实的政府采购政策</w:t>
      </w:r>
    </w:p>
    <w:p w14:paraId="2FE0FA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进口产品：不适用于本项目。</w:t>
      </w:r>
    </w:p>
    <w:p w14:paraId="7C2B2F4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节能产品：</w:t>
      </w:r>
      <w:r>
        <w:rPr>
          <w:rFonts w:hint="eastAsia" w:ascii="宋体" w:hAnsi="宋体" w:eastAsia="宋体" w:cs="宋体"/>
          <w:i w:val="0"/>
          <w:iCs w:val="0"/>
          <w:caps w:val="0"/>
          <w:color w:val="auto"/>
          <w:spacing w:val="0"/>
          <w:sz w:val="21"/>
          <w:szCs w:val="21"/>
          <w:shd w:val="clear" w:fill="FFFFFF"/>
          <w:lang w:eastAsia="zh-CN"/>
        </w:rPr>
        <w:t>不</w:t>
      </w:r>
      <w:r>
        <w:rPr>
          <w:rFonts w:hint="eastAsia" w:ascii="宋体" w:hAnsi="宋体" w:eastAsia="宋体" w:cs="宋体"/>
          <w:i w:val="0"/>
          <w:iCs w:val="0"/>
          <w:caps w:val="0"/>
          <w:color w:val="auto"/>
          <w:spacing w:val="0"/>
          <w:sz w:val="21"/>
          <w:szCs w:val="21"/>
          <w:shd w:val="clear" w:fill="FFFFFF"/>
        </w:rPr>
        <w:t>适用于（本项目）。</w:t>
      </w:r>
    </w:p>
    <w:p w14:paraId="1779666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环境标志产品：</w:t>
      </w:r>
      <w:r>
        <w:rPr>
          <w:rFonts w:hint="eastAsia" w:ascii="宋体" w:hAnsi="宋体" w:eastAsia="宋体" w:cs="宋体"/>
          <w:i w:val="0"/>
          <w:iCs w:val="0"/>
          <w:caps w:val="0"/>
          <w:color w:val="auto"/>
          <w:spacing w:val="0"/>
          <w:sz w:val="21"/>
          <w:szCs w:val="21"/>
          <w:shd w:val="clear" w:fill="FFFFFF"/>
          <w:lang w:eastAsia="zh-CN"/>
        </w:rPr>
        <w:t>不</w:t>
      </w:r>
      <w:r>
        <w:rPr>
          <w:rFonts w:hint="eastAsia" w:ascii="宋体" w:hAnsi="宋体" w:eastAsia="宋体" w:cs="宋体"/>
          <w:i w:val="0"/>
          <w:iCs w:val="0"/>
          <w:caps w:val="0"/>
          <w:color w:val="auto"/>
          <w:spacing w:val="0"/>
          <w:sz w:val="21"/>
          <w:szCs w:val="21"/>
          <w:shd w:val="clear" w:fill="FFFFFF"/>
        </w:rPr>
        <w:t>适用于（本项目）。</w:t>
      </w:r>
    </w:p>
    <w:p w14:paraId="53A09DF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信息安全产品：</w:t>
      </w:r>
      <w:r>
        <w:rPr>
          <w:rFonts w:hint="eastAsia" w:ascii="宋体" w:hAnsi="宋体" w:eastAsia="宋体" w:cs="宋体"/>
          <w:i w:val="0"/>
          <w:iCs w:val="0"/>
          <w:caps w:val="0"/>
          <w:color w:val="auto"/>
          <w:spacing w:val="0"/>
          <w:sz w:val="21"/>
          <w:szCs w:val="21"/>
          <w:shd w:val="clear" w:fill="FFFFFF"/>
          <w:lang w:val="en-US" w:eastAsia="zh-CN"/>
        </w:rPr>
        <w:t>不</w:t>
      </w:r>
      <w:r>
        <w:rPr>
          <w:rFonts w:hint="eastAsia" w:ascii="宋体" w:hAnsi="宋体" w:eastAsia="宋体" w:cs="宋体"/>
          <w:i w:val="0"/>
          <w:iCs w:val="0"/>
          <w:caps w:val="0"/>
          <w:color w:val="auto"/>
          <w:spacing w:val="0"/>
          <w:sz w:val="21"/>
          <w:szCs w:val="21"/>
          <w:shd w:val="clear" w:fill="FFFFFF"/>
        </w:rPr>
        <w:t>适用于（本项目）。</w:t>
      </w:r>
    </w:p>
    <w:p w14:paraId="44D02D1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信用记录：</w:t>
      </w:r>
    </w:p>
    <w:p w14:paraId="4D8BE1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评标委员会通过上述网站查询并打印投标人信用记录（以下简称：“评标委员会的查询结果”）。②投标人提供的查询结果与评标委员会的查询结果不一致的，以评标委员会的查询结果为准。③因上述网站原因导致评标委员会无法查询投标人信用记录的（评标委员会应将通过上述网站查询投标人信用记录时的原始页面打印后随采购文件一并存档），以投标人提供的查询结果为准。④查询结果存在投标人应被拒绝参与政府采购活动相关信息的，其资格审查不合格。</w:t>
      </w:r>
    </w:p>
    <w:p w14:paraId="47A611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促进中小企业发展的相关政策：无</w:t>
      </w:r>
    </w:p>
    <w:p w14:paraId="1B600B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面向的企业规模：无</w:t>
      </w:r>
    </w:p>
    <w:p w14:paraId="3B40AF14">
      <w:pPr>
        <w:pStyle w:val="7"/>
        <w:keepNext w:val="0"/>
        <w:keepLines w:val="0"/>
        <w:pageBreakBefore w:val="0"/>
        <w:kinsoku/>
        <w:overflowPunct/>
        <w:topLinePunct w:val="0"/>
        <w:autoSpaceDE/>
        <w:autoSpaceDN/>
        <w:bidi w:val="0"/>
        <w:adjustRightInd/>
        <w:snapToGrid/>
        <w:spacing w:beforeAutospacing="0" w:afterAutospacing="0" w:line="440" w:lineRule="exact"/>
        <w:ind w:firstLine="542" w:firstLineChars="200"/>
        <w:textAlignment w:val="auto"/>
        <w:rPr>
          <w:rFonts w:hint="eastAsia"/>
        </w:rPr>
      </w:pPr>
      <w:r>
        <w:rPr>
          <w:rFonts w:hint="eastAsia"/>
        </w:rPr>
        <w:t>6、投标人的资格要求</w:t>
      </w:r>
    </w:p>
    <w:p w14:paraId="7F579A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6.1法定条件：符合政府采购法第二十二条第一款规定的条件。</w:t>
      </w:r>
    </w:p>
    <w:p w14:paraId="70301A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6.2特定条件：</w:t>
      </w:r>
    </w:p>
    <w:p w14:paraId="2655FB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采购包1：</w:t>
      </w:r>
    </w:p>
    <w:tbl>
      <w:tblPr>
        <w:tblStyle w:val="18"/>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91"/>
        <w:gridCol w:w="7083"/>
      </w:tblGrid>
      <w:tr w14:paraId="663D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9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6896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firstLine="482" w:firstLineChars="200"/>
              <w:jc w:val="left"/>
              <w:textAlignment w:val="auto"/>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
              </w:rPr>
              <w:t>资格审查要求概况</w:t>
            </w:r>
          </w:p>
        </w:tc>
        <w:tc>
          <w:tcPr>
            <w:tcW w:w="708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DAEE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firstLine="482" w:firstLineChars="200"/>
              <w:jc w:val="left"/>
              <w:textAlignment w:val="auto"/>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
              </w:rPr>
              <w:t>评审点具体描述</w:t>
            </w:r>
          </w:p>
        </w:tc>
      </w:tr>
      <w:tr w14:paraId="04AC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9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C2D1BF">
            <w:pPr>
              <w:widowControl/>
              <w:ind w:firstLine="440" w:firstLineChars="200"/>
              <w:jc w:val="left"/>
              <w:rPr>
                <w:rFonts w:hint="eastAsia" w:ascii="宋体" w:hAnsi="宋体" w:eastAsia="宋体" w:cs="宋体"/>
                <w:b w:val="0"/>
                <w:bCs w:val="0"/>
                <w:i w:val="0"/>
                <w:iCs w:val="0"/>
                <w:caps w:val="0"/>
                <w:color w:val="0000FF"/>
                <w:spacing w:val="0"/>
                <w:kern w:val="0"/>
                <w:sz w:val="22"/>
                <w:szCs w:val="22"/>
                <w:shd w:val="clear" w:fill="FFFFFF"/>
                <w:lang w:val="en-US" w:eastAsia="zh-CN" w:bidi="ar"/>
              </w:rPr>
            </w:pPr>
            <w:r>
              <w:rPr>
                <w:rFonts w:hint="eastAsia" w:ascii="宋体" w:hAnsi="宋体" w:eastAsia="宋体" w:cs="宋体"/>
                <w:b w:val="0"/>
                <w:bCs w:val="0"/>
                <w:color w:val="0000FF"/>
                <w:kern w:val="0"/>
                <w:sz w:val="22"/>
                <w:szCs w:val="22"/>
                <w:lang w:val="en-US" w:eastAsia="zh-CN" w:bidi="ar"/>
              </w:rPr>
              <w:t>特定资格要求</w:t>
            </w:r>
          </w:p>
        </w:tc>
        <w:tc>
          <w:tcPr>
            <w:tcW w:w="708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5D45AF">
            <w:pPr>
              <w:widowControl/>
              <w:ind w:firstLine="440" w:firstLineChars="200"/>
              <w:jc w:val="left"/>
              <w:rPr>
                <w:rFonts w:hint="eastAsia" w:ascii="宋体" w:hAnsi="宋体" w:eastAsia="宋体" w:cs="宋体"/>
                <w:b w:val="0"/>
                <w:bCs w:val="0"/>
                <w:i w:val="0"/>
                <w:iCs w:val="0"/>
                <w:caps w:val="0"/>
                <w:color w:val="0000FF"/>
                <w:spacing w:val="0"/>
                <w:kern w:val="0"/>
                <w:sz w:val="22"/>
                <w:szCs w:val="22"/>
                <w:shd w:val="clear" w:fill="FFFFFF"/>
                <w:lang w:val="en-US" w:eastAsia="zh-CN" w:bidi="ar"/>
              </w:rPr>
            </w:pPr>
            <w:r>
              <w:rPr>
                <w:rFonts w:hint="eastAsia" w:ascii="宋体" w:hAnsi="宋体" w:cs="宋体"/>
                <w:b w:val="0"/>
                <w:bCs w:val="0"/>
                <w:color w:val="0000FF"/>
                <w:kern w:val="0"/>
                <w:sz w:val="22"/>
                <w:szCs w:val="22"/>
                <w:lang w:val="en-US" w:eastAsia="zh-CN" w:bidi="ar"/>
              </w:rPr>
              <w:t>投标人</w:t>
            </w:r>
            <w:r>
              <w:rPr>
                <w:rFonts w:hint="eastAsia" w:ascii="宋体" w:hAnsi="宋体" w:eastAsia="宋体" w:cs="宋体"/>
                <w:b w:val="0"/>
                <w:bCs w:val="0"/>
                <w:color w:val="0000FF"/>
                <w:kern w:val="0"/>
                <w:sz w:val="22"/>
                <w:szCs w:val="22"/>
                <w:lang w:val="en-US" w:eastAsia="zh-CN" w:bidi="ar"/>
              </w:rPr>
              <w:t>应在莆田城市园林发展集团有限公司供应商备选库中资产评估类入库的单位。</w:t>
            </w:r>
          </w:p>
        </w:tc>
      </w:tr>
      <w:tr w14:paraId="6499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9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54791DFD">
            <w:pPr>
              <w:pStyle w:val="37"/>
              <w:keepNext w:val="0"/>
              <w:keepLines w:val="0"/>
              <w:pageBreakBefore w:val="0"/>
              <w:kinsoku/>
              <w:overflowPunct/>
              <w:topLinePunct w:val="0"/>
              <w:autoSpaceDE/>
              <w:autoSpaceDN/>
              <w:bidi w:val="0"/>
              <w:adjustRightInd/>
              <w:snapToGrid/>
              <w:spacing w:beforeAutospacing="0" w:afterAutospacing="0" w:line="440" w:lineRule="exact"/>
              <w:ind w:firstLine="420" w:firstLineChars="200"/>
              <w:jc w:val="both"/>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供应商资格承诺函</w:t>
            </w:r>
          </w:p>
        </w:tc>
        <w:tc>
          <w:tcPr>
            <w:tcW w:w="708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154E858E">
            <w:pPr>
              <w:pStyle w:val="37"/>
              <w:keepNext w:val="0"/>
              <w:keepLines w:val="0"/>
              <w:pageBreakBefore w:val="0"/>
              <w:kinsoku/>
              <w:overflowPunct/>
              <w:topLinePunct w:val="0"/>
              <w:autoSpaceDE/>
              <w:autoSpaceDN/>
              <w:bidi w:val="0"/>
              <w:adjustRightInd/>
              <w:snapToGrid/>
              <w:spacing w:beforeAutospacing="0" w:afterAutospacing="0" w:line="440" w:lineRule="exact"/>
              <w:ind w:firstLine="420" w:firstLineChars="200"/>
              <w:jc w:val="both"/>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根据《福建省财政厅关于印发推行政府采购供应商资格承诺制指导意见的通知》（闽财购(2024)6号）的规定，依法在福建省参与政府采购活动的供应商，可提供《政府采购供应商资格承诺函》。供应商应对其承诺内容的真实性、合法性、有效性负责。说明：1.供应商可自行选择是否提供资格承诺函，若不提供资格承诺函的，应按招标文件要求提供相应的证明材料。2.若招标文件中有与此处描述不一致的，以此处描述为准。</w:t>
            </w:r>
          </w:p>
        </w:tc>
      </w:tr>
    </w:tbl>
    <w:p w14:paraId="378951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6.3是否接受联合体投标：</w:t>
      </w:r>
    </w:p>
    <w:p w14:paraId="291D5E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采购包1：不接受</w:t>
      </w:r>
    </w:p>
    <w:p w14:paraId="739AE4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sz w:val="21"/>
          <w:szCs w:val="21"/>
          <w:shd w:val="clear" w:fill="FFFFFF"/>
        </w:rPr>
        <w:t>※根据上述资格要求，投标文件中应提交的“投标人的资格及资信证明文件”详见招标文件第四章。</w:t>
      </w:r>
    </w:p>
    <w:p w14:paraId="3689A5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right="0" w:firstLine="542" w:firstLineChars="200"/>
        <w:jc w:val="both"/>
        <w:textAlignment w:val="auto"/>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7、招标文件的获取</w:t>
      </w:r>
    </w:p>
    <w:p w14:paraId="013778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7.1、采购文件的提供期限：详见招标公告或更正公告（若有），若不一致，以更正公告（若有）为准。采购文件的提供期限与招标公告的公告期限保持一致。</w:t>
      </w:r>
    </w:p>
    <w:p w14:paraId="7E925E6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7.2、获取地点及方式：在线下载</w:t>
      </w:r>
    </w:p>
    <w:p w14:paraId="2F2400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right="0" w:firstLine="542" w:firstLineChars="200"/>
        <w:jc w:val="both"/>
        <w:textAlignment w:val="auto"/>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8、投标截止</w:t>
      </w:r>
    </w:p>
    <w:p w14:paraId="191AF56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8.1、投标截止时间：详见招标公告或更正公告，若不一致，以更正公告为准。</w:t>
      </w:r>
    </w:p>
    <w:p w14:paraId="411F54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right="0" w:firstLine="542" w:firstLineChars="200"/>
        <w:jc w:val="both"/>
        <w:textAlignment w:val="auto"/>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9、开标时间及地点</w:t>
      </w:r>
    </w:p>
    <w:p w14:paraId="0A9857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详见招标公告或更正公告，若不一致，以更正公告为准。</w:t>
      </w:r>
    </w:p>
    <w:p w14:paraId="597C79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520"/>
        </w:tabs>
        <w:kinsoku/>
        <w:overflowPunct/>
        <w:topLinePunct w:val="0"/>
        <w:autoSpaceDE/>
        <w:autoSpaceDN/>
        <w:bidi w:val="0"/>
        <w:adjustRightInd/>
        <w:snapToGrid/>
        <w:spacing w:before="0" w:beforeAutospacing="0" w:after="0" w:afterAutospacing="0" w:line="440" w:lineRule="exact"/>
        <w:ind w:right="0" w:firstLine="542" w:firstLineChars="200"/>
        <w:jc w:val="left"/>
        <w:textAlignment w:val="auto"/>
        <w:rPr>
          <w:rFonts w:hint="eastAsia" w:ascii="宋体" w:hAnsi="宋体" w:eastAsia="宋体" w:cs="宋体"/>
          <w:b/>
          <w:bCs/>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7"/>
          <w:szCs w:val="27"/>
          <w:shd w:val="clear" w:fill="FFFFFF"/>
        </w:rPr>
        <w:t>1</w:t>
      </w:r>
      <w:r>
        <w:rPr>
          <w:rFonts w:hint="eastAsia" w:cs="宋体"/>
          <w:b/>
          <w:bCs/>
          <w:i w:val="0"/>
          <w:iCs w:val="0"/>
          <w:caps w:val="0"/>
          <w:color w:val="auto"/>
          <w:spacing w:val="0"/>
          <w:sz w:val="27"/>
          <w:szCs w:val="27"/>
          <w:shd w:val="clear" w:fill="FFFFFF"/>
          <w:lang w:val="en-US" w:eastAsia="zh-CN"/>
        </w:rPr>
        <w:t>0</w:t>
      </w:r>
      <w:r>
        <w:rPr>
          <w:rFonts w:hint="eastAsia" w:ascii="宋体" w:hAnsi="宋体" w:eastAsia="宋体" w:cs="宋体"/>
          <w:b/>
          <w:bCs/>
          <w:i w:val="0"/>
          <w:iCs w:val="0"/>
          <w:caps w:val="0"/>
          <w:color w:val="auto"/>
          <w:spacing w:val="0"/>
          <w:sz w:val="27"/>
          <w:szCs w:val="27"/>
          <w:shd w:val="clear" w:fill="FFFFFF"/>
        </w:rPr>
        <w:t>、采购人：</w:t>
      </w:r>
      <w:r>
        <w:rPr>
          <w:rFonts w:hint="eastAsia" w:cs="宋体"/>
          <w:b/>
          <w:bCs/>
          <w:i w:val="0"/>
          <w:iCs w:val="0"/>
          <w:caps w:val="0"/>
          <w:color w:val="auto"/>
          <w:spacing w:val="0"/>
          <w:sz w:val="27"/>
          <w:szCs w:val="27"/>
          <w:shd w:val="clear" w:fill="FFFFFF"/>
          <w:lang w:eastAsia="zh-CN"/>
        </w:rPr>
        <w:t>莆田城市园林发展集团有限公司</w:t>
      </w:r>
    </w:p>
    <w:p w14:paraId="2E50CA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0000FF"/>
          <w:lang w:val="en-US" w:eastAsia="zh-CN"/>
        </w:rPr>
      </w:pPr>
      <w:r>
        <w:rPr>
          <w:rFonts w:hint="eastAsia" w:ascii="宋体" w:hAnsi="宋体" w:eastAsia="宋体" w:cs="宋体"/>
          <w:i w:val="0"/>
          <w:iCs w:val="0"/>
          <w:caps w:val="0"/>
          <w:color w:val="auto"/>
          <w:spacing w:val="0"/>
          <w:sz w:val="21"/>
          <w:szCs w:val="21"/>
          <w:shd w:val="clear" w:fill="FFFFFF"/>
        </w:rPr>
        <w:t>地址： 莆田市荔城区拱辰街道畅林路669号</w:t>
      </w:r>
    </w:p>
    <w:p w14:paraId="3AF3B7B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eastAsia="宋体" w:cs="宋体"/>
          <w:color w:val="auto"/>
          <w:lang w:val="en-US" w:eastAsia="zh-CN"/>
        </w:rPr>
      </w:pPr>
      <w:r>
        <w:rPr>
          <w:rFonts w:hint="eastAsia" w:ascii="宋体" w:hAnsi="宋体" w:eastAsia="宋体" w:cs="宋体"/>
          <w:i w:val="0"/>
          <w:iCs w:val="0"/>
          <w:caps w:val="0"/>
          <w:color w:val="auto"/>
          <w:spacing w:val="0"/>
          <w:sz w:val="21"/>
          <w:szCs w:val="21"/>
          <w:shd w:val="clear" w:fill="FFFFFF"/>
        </w:rPr>
        <w:t>邮编： 35</w:t>
      </w:r>
      <w:r>
        <w:rPr>
          <w:rFonts w:hint="eastAsia" w:ascii="宋体" w:hAnsi="宋体" w:eastAsia="宋体" w:cs="宋体"/>
          <w:i w:val="0"/>
          <w:iCs w:val="0"/>
          <w:caps w:val="0"/>
          <w:color w:val="auto"/>
          <w:spacing w:val="0"/>
          <w:sz w:val="21"/>
          <w:szCs w:val="21"/>
          <w:shd w:val="clear" w:fill="FFFFFF"/>
          <w:lang w:val="en-US" w:eastAsia="zh-CN"/>
        </w:rPr>
        <w:t>1131</w:t>
      </w:r>
    </w:p>
    <w:p w14:paraId="696FC8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lang w:val="en-US" w:eastAsia="zh-CN"/>
        </w:rPr>
      </w:pPr>
      <w:r>
        <w:rPr>
          <w:rFonts w:hint="eastAsia" w:ascii="宋体" w:hAnsi="宋体" w:eastAsia="宋体" w:cs="宋体"/>
          <w:i w:val="0"/>
          <w:iCs w:val="0"/>
          <w:caps w:val="0"/>
          <w:color w:val="auto"/>
          <w:spacing w:val="0"/>
          <w:sz w:val="21"/>
          <w:szCs w:val="21"/>
          <w:shd w:val="clear" w:fill="FFFFFF"/>
        </w:rPr>
        <w:t>联系人：苏女士</w:t>
      </w:r>
    </w:p>
    <w:p w14:paraId="5735D2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联系电话：</w:t>
      </w:r>
      <w:r>
        <w:rPr>
          <w:rFonts w:hint="eastAsia" w:ascii="宋体" w:hAnsi="宋体" w:eastAsia="宋体" w:cs="宋体"/>
          <w:i w:val="0"/>
          <w:iCs w:val="0"/>
          <w:caps w:val="0"/>
          <w:color w:val="auto"/>
          <w:spacing w:val="0"/>
          <w:sz w:val="21"/>
          <w:szCs w:val="21"/>
          <w:shd w:val="clear" w:fill="FFFFFF"/>
          <w:lang w:val="en-US" w:eastAsia="zh-CN"/>
        </w:rPr>
        <w:t>13215089083</w:t>
      </w:r>
    </w:p>
    <w:p w14:paraId="24D9BB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right="0" w:firstLine="542" w:firstLineChars="200"/>
        <w:jc w:val="left"/>
        <w:textAlignment w:val="auto"/>
        <w:rPr>
          <w:rFonts w:hint="eastAsia" w:ascii="宋体" w:hAnsi="宋体" w:eastAsia="宋体" w:cs="宋体"/>
          <w:b/>
          <w:bCs/>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7"/>
          <w:szCs w:val="27"/>
          <w:shd w:val="clear" w:fill="FFFFFF"/>
        </w:rPr>
        <w:t>12、代理机构：</w:t>
      </w:r>
      <w:r>
        <w:rPr>
          <w:rFonts w:hint="eastAsia" w:cs="宋体"/>
          <w:b/>
          <w:bCs/>
          <w:i w:val="0"/>
          <w:iCs w:val="0"/>
          <w:caps w:val="0"/>
          <w:color w:val="auto"/>
          <w:spacing w:val="0"/>
          <w:sz w:val="27"/>
          <w:szCs w:val="27"/>
          <w:shd w:val="clear" w:fill="FFFFFF"/>
          <w:lang w:eastAsia="zh-CN"/>
        </w:rPr>
        <w:t>福建省亿达工程咨询有限公司</w:t>
      </w:r>
    </w:p>
    <w:p w14:paraId="74A598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lang w:eastAsia="zh-CN"/>
        </w:rPr>
      </w:pPr>
      <w:r>
        <w:rPr>
          <w:rFonts w:hint="eastAsia" w:ascii="宋体" w:hAnsi="宋体" w:eastAsia="宋体" w:cs="宋体"/>
          <w:i w:val="0"/>
          <w:iCs w:val="0"/>
          <w:caps w:val="0"/>
          <w:color w:val="auto"/>
          <w:spacing w:val="0"/>
          <w:sz w:val="21"/>
          <w:szCs w:val="21"/>
          <w:shd w:val="clear" w:fill="FFFFFF"/>
        </w:rPr>
        <w:t>地址： 莆田市城厢区荔城中大道</w:t>
      </w:r>
      <w:r>
        <w:rPr>
          <w:rFonts w:hint="eastAsia" w:ascii="宋体" w:hAnsi="宋体" w:eastAsia="宋体" w:cs="宋体"/>
          <w:i w:val="0"/>
          <w:iCs w:val="0"/>
          <w:caps w:val="0"/>
          <w:color w:val="auto"/>
          <w:spacing w:val="0"/>
          <w:sz w:val="21"/>
          <w:szCs w:val="21"/>
          <w:shd w:val="clear" w:fill="FFFFFF"/>
          <w:lang w:eastAsia="zh-CN"/>
        </w:rPr>
        <w:t>和成天下1号楼8楼</w:t>
      </w:r>
    </w:p>
    <w:p w14:paraId="5DA39C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default" w:ascii="宋体" w:hAnsi="宋体" w:eastAsia="宋体" w:cs="宋体"/>
          <w:color w:val="auto"/>
          <w:lang w:val="en-US" w:eastAsia="zh-CN"/>
        </w:rPr>
      </w:pPr>
      <w:r>
        <w:rPr>
          <w:rFonts w:hint="eastAsia" w:ascii="宋体" w:hAnsi="宋体" w:eastAsia="宋体" w:cs="宋体"/>
          <w:i w:val="0"/>
          <w:iCs w:val="0"/>
          <w:caps w:val="0"/>
          <w:color w:val="auto"/>
          <w:spacing w:val="0"/>
          <w:sz w:val="21"/>
          <w:szCs w:val="21"/>
          <w:shd w:val="clear" w:fill="FFFFFF"/>
        </w:rPr>
        <w:t>邮编： </w:t>
      </w:r>
      <w:r>
        <w:rPr>
          <w:rFonts w:hint="eastAsia" w:ascii="宋体" w:hAnsi="宋体" w:eastAsia="宋体" w:cs="宋体"/>
          <w:i w:val="0"/>
          <w:iCs w:val="0"/>
          <w:caps w:val="0"/>
          <w:color w:val="auto"/>
          <w:spacing w:val="0"/>
          <w:sz w:val="21"/>
          <w:szCs w:val="21"/>
          <w:shd w:val="clear" w:fill="FFFFFF"/>
          <w:lang w:val="en-US" w:eastAsia="zh-CN"/>
        </w:rPr>
        <w:t>351100</w:t>
      </w:r>
    </w:p>
    <w:p w14:paraId="47A6F2B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lang w:val="en-US" w:eastAsia="zh-CN"/>
        </w:rPr>
      </w:pPr>
      <w:r>
        <w:rPr>
          <w:rFonts w:hint="eastAsia" w:ascii="宋体" w:hAnsi="宋体" w:eastAsia="宋体" w:cs="宋体"/>
          <w:i w:val="0"/>
          <w:iCs w:val="0"/>
          <w:caps w:val="0"/>
          <w:color w:val="auto"/>
          <w:spacing w:val="0"/>
          <w:sz w:val="21"/>
          <w:szCs w:val="21"/>
          <w:shd w:val="clear" w:fill="FFFFFF"/>
        </w:rPr>
        <w:t>联系人： </w:t>
      </w:r>
      <w:r>
        <w:rPr>
          <w:rFonts w:hint="eastAsia" w:ascii="宋体" w:hAnsi="宋体" w:eastAsia="宋体" w:cs="宋体"/>
          <w:i w:val="0"/>
          <w:iCs w:val="0"/>
          <w:caps w:val="0"/>
          <w:color w:val="auto"/>
          <w:spacing w:val="0"/>
          <w:sz w:val="21"/>
          <w:szCs w:val="21"/>
          <w:shd w:val="clear" w:fill="FFFFFF"/>
          <w:lang w:val="en-US" w:eastAsia="zh-CN"/>
        </w:rPr>
        <w:t>何先生</w:t>
      </w:r>
    </w:p>
    <w:p w14:paraId="1BCDBE6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default" w:ascii="宋体" w:hAnsi="宋体" w:eastAsia="宋体" w:cs="宋体"/>
          <w:color w:val="auto"/>
          <w:lang w:val="en-US" w:eastAsia="zh-CN"/>
        </w:rPr>
      </w:pPr>
      <w:r>
        <w:rPr>
          <w:rFonts w:hint="eastAsia" w:ascii="宋体" w:hAnsi="宋体" w:eastAsia="宋体" w:cs="宋体"/>
          <w:i w:val="0"/>
          <w:iCs w:val="0"/>
          <w:caps w:val="0"/>
          <w:color w:val="auto"/>
          <w:spacing w:val="0"/>
          <w:sz w:val="21"/>
          <w:szCs w:val="21"/>
          <w:shd w:val="clear" w:fill="FFFFFF"/>
        </w:rPr>
        <w:t>联系电话： 1</w:t>
      </w:r>
      <w:r>
        <w:rPr>
          <w:rFonts w:hint="eastAsia" w:ascii="宋体" w:hAnsi="宋体" w:eastAsia="宋体" w:cs="宋体"/>
          <w:i w:val="0"/>
          <w:iCs w:val="0"/>
          <w:caps w:val="0"/>
          <w:color w:val="auto"/>
          <w:spacing w:val="0"/>
          <w:sz w:val="21"/>
          <w:szCs w:val="21"/>
          <w:shd w:val="clear" w:fill="FFFFFF"/>
          <w:lang w:val="en-US" w:eastAsia="zh-CN"/>
        </w:rPr>
        <w:t>3950740195</w:t>
      </w:r>
    </w:p>
    <w:p w14:paraId="74F456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right="0" w:firstLine="542" w:firstLineChars="200"/>
        <w:jc w:val="both"/>
        <w:textAlignment w:val="auto"/>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附1：账户信息</w:t>
      </w:r>
    </w:p>
    <w:tbl>
      <w:tblPr>
        <w:tblStyle w:val="18"/>
        <w:tblW w:w="949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496"/>
      </w:tblGrid>
      <w:tr w14:paraId="0D533C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36" w:type="dxa"/>
            <w:tcBorders>
              <w:top w:val="outset" w:color="000000" w:sz="6" w:space="0"/>
              <w:left w:val="outset" w:color="000000" w:sz="6" w:space="0"/>
              <w:bottom w:val="outset" w:color="000000" w:sz="6" w:space="0"/>
              <w:right w:val="outset" w:color="000000" w:sz="6" w:space="0"/>
            </w:tcBorders>
            <w:tcMar>
              <w:top w:w="0" w:type="dxa"/>
              <w:left w:w="95" w:type="dxa"/>
              <w:bottom w:w="0" w:type="dxa"/>
              <w:right w:w="95" w:type="dxa"/>
            </w:tcMar>
            <w:vAlign w:val="center"/>
          </w:tcPr>
          <w:p w14:paraId="068A67AB">
            <w:pPr>
              <w:keepNext w:val="0"/>
              <w:keepLines w:val="0"/>
              <w:pageBreakBefore w:val="0"/>
              <w:widowControl/>
              <w:kinsoku/>
              <w:overflowPunct/>
              <w:topLinePunct w:val="0"/>
              <w:autoSpaceDE/>
              <w:autoSpaceDN/>
              <w:bidi w:val="0"/>
              <w:adjustRightInd/>
              <w:snapToGrid/>
              <w:spacing w:line="500" w:lineRule="exact"/>
              <w:jc w:val="center"/>
              <w:textAlignment w:val="auto"/>
              <w:rPr>
                <w:rFonts w:ascii="宋体" w:cs="宋体"/>
                <w:kern w:val="0"/>
                <w:sz w:val="24"/>
              </w:rPr>
            </w:pPr>
            <w:r>
              <w:rPr>
                <w:rFonts w:hint="eastAsia" w:ascii="宋体" w:hAnsi="宋体" w:cs="宋体"/>
                <w:b/>
                <w:bCs/>
                <w:kern w:val="0"/>
                <w:sz w:val="22"/>
              </w:rPr>
              <w:t>投标保证金账户</w:t>
            </w:r>
          </w:p>
        </w:tc>
      </w:tr>
      <w:tr w14:paraId="2FC66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36" w:type="dxa"/>
            <w:tcBorders>
              <w:top w:val="nil"/>
              <w:left w:val="outset" w:color="000000" w:sz="6" w:space="0"/>
              <w:bottom w:val="outset" w:color="000000" w:sz="6" w:space="0"/>
              <w:right w:val="outset" w:color="000000" w:sz="6" w:space="0"/>
            </w:tcBorders>
            <w:tcMar>
              <w:top w:w="0" w:type="dxa"/>
              <w:left w:w="95" w:type="dxa"/>
              <w:bottom w:w="0" w:type="dxa"/>
              <w:right w:w="95" w:type="dxa"/>
            </w:tcMar>
            <w:vAlign w:val="top"/>
          </w:tcPr>
          <w:p w14:paraId="03FA154E">
            <w:pPr>
              <w:keepNext w:val="0"/>
              <w:keepLines w:val="0"/>
              <w:pageBreakBefore w:val="0"/>
              <w:widowControl/>
              <w:kinsoku/>
              <w:overflowPunct/>
              <w:topLinePunct w:val="0"/>
              <w:autoSpaceDE/>
              <w:autoSpaceDN/>
              <w:bidi w:val="0"/>
              <w:adjustRightInd/>
              <w:snapToGrid/>
              <w:spacing w:line="470" w:lineRule="exact"/>
              <w:jc w:val="lef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ascii="宋体" w:hAnsi="宋体" w:eastAsia="宋体" w:cs="宋体"/>
                <w:color w:val="auto"/>
                <w:kern w:val="0"/>
                <w:sz w:val="22"/>
                <w:szCs w:val="22"/>
              </w:rPr>
              <w:t>开户名称：</w:t>
            </w:r>
            <w:r>
              <w:rPr>
                <w:rFonts w:hint="eastAsia" w:ascii="宋体" w:hAnsi="宋体" w:cs="宋体"/>
                <w:color w:val="auto"/>
                <w:kern w:val="0"/>
                <w:sz w:val="22"/>
                <w:szCs w:val="22"/>
                <w:lang w:val="en-US" w:eastAsia="zh-CN"/>
              </w:rPr>
              <w:t>福建省亿达工程咨询有限公司莆田分公司</w:t>
            </w:r>
          </w:p>
        </w:tc>
      </w:tr>
      <w:tr w14:paraId="2614E4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36" w:type="dxa"/>
            <w:tcBorders>
              <w:top w:val="nil"/>
              <w:left w:val="outset" w:color="000000" w:sz="6" w:space="0"/>
              <w:bottom w:val="outset" w:color="000000" w:sz="6" w:space="0"/>
              <w:right w:val="outset" w:color="000000" w:sz="6" w:space="0"/>
            </w:tcBorders>
            <w:tcMar>
              <w:top w:w="0" w:type="dxa"/>
              <w:left w:w="95" w:type="dxa"/>
              <w:bottom w:w="0" w:type="dxa"/>
              <w:right w:w="95" w:type="dxa"/>
            </w:tcMar>
            <w:vAlign w:val="top"/>
          </w:tcPr>
          <w:p w14:paraId="0C3C1537">
            <w:pPr>
              <w:pStyle w:val="37"/>
              <w:keepNext w:val="0"/>
              <w:keepLines w:val="0"/>
              <w:pageBreakBefore w:val="0"/>
              <w:widowControl/>
              <w:kinsoku/>
              <w:overflowPunct/>
              <w:topLinePunct w:val="0"/>
              <w:autoSpaceDE/>
              <w:autoSpaceDN/>
              <w:bidi w:val="0"/>
              <w:adjustRightInd/>
              <w:snapToGrid/>
              <w:spacing w:line="470" w:lineRule="exac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ascii="Calibri" w:hAnsi="Calibri" w:eastAsia="宋体" w:cs="Times New Roman"/>
                <w:color w:val="auto"/>
                <w:sz w:val="22"/>
                <w:szCs w:val="22"/>
                <w:lang w:eastAsia="zh-CN" w:bidi="ar-SA"/>
              </w:rPr>
              <w:t>开户银行：</w:t>
            </w:r>
            <w:r>
              <w:rPr>
                <w:rFonts w:hint="eastAsia" w:ascii="宋体" w:hAnsi="宋体" w:eastAsia="宋体" w:cs="宋体"/>
                <w:i w:val="0"/>
                <w:iCs w:val="0"/>
                <w:caps w:val="0"/>
                <w:color w:val="auto"/>
                <w:spacing w:val="0"/>
                <w:kern w:val="0"/>
                <w:sz w:val="22"/>
                <w:szCs w:val="22"/>
                <w:shd w:val="clear" w:color="auto" w:fill="FFFFFF"/>
                <w:lang w:val="en-US" w:eastAsia="zh-CN" w:bidi="ar"/>
              </w:rPr>
              <w:t>中国建设银行股份有限公司莆田荔城支行</w:t>
            </w:r>
          </w:p>
        </w:tc>
      </w:tr>
      <w:tr w14:paraId="293460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36" w:type="dxa"/>
            <w:tcBorders>
              <w:top w:val="nil"/>
              <w:left w:val="outset" w:color="000000" w:sz="6" w:space="0"/>
              <w:bottom w:val="outset" w:color="000000" w:sz="6" w:space="0"/>
              <w:right w:val="outset" w:color="000000" w:sz="6" w:space="0"/>
            </w:tcBorders>
            <w:tcMar>
              <w:top w:w="0" w:type="dxa"/>
              <w:left w:w="95" w:type="dxa"/>
              <w:bottom w:w="0" w:type="dxa"/>
              <w:right w:w="95" w:type="dxa"/>
            </w:tcMar>
            <w:vAlign w:val="top"/>
          </w:tcPr>
          <w:p w14:paraId="721584F3">
            <w:pPr>
              <w:pStyle w:val="37"/>
              <w:keepNext w:val="0"/>
              <w:keepLines w:val="0"/>
              <w:pageBreakBefore w:val="0"/>
              <w:widowControl/>
              <w:kinsoku/>
              <w:overflowPunct/>
              <w:topLinePunct w:val="0"/>
              <w:autoSpaceDE/>
              <w:autoSpaceDN/>
              <w:bidi w:val="0"/>
              <w:adjustRightInd/>
              <w:snapToGrid/>
              <w:spacing w:line="470" w:lineRule="exac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ascii="Calibri" w:hAnsi="Calibri" w:eastAsia="宋体" w:cs="Times New Roman"/>
                <w:color w:val="auto"/>
                <w:sz w:val="22"/>
                <w:szCs w:val="22"/>
                <w:lang w:eastAsia="zh-CN" w:bidi="ar-SA"/>
              </w:rPr>
              <w:t>银行账号：</w:t>
            </w:r>
            <w:r>
              <w:rPr>
                <w:rFonts w:hint="eastAsia" w:ascii="宋体" w:hAnsi="宋体" w:eastAsia="宋体" w:cs="宋体"/>
                <w:i w:val="0"/>
                <w:iCs w:val="0"/>
                <w:caps w:val="0"/>
                <w:color w:val="auto"/>
                <w:spacing w:val="0"/>
                <w:kern w:val="0"/>
                <w:sz w:val="22"/>
                <w:szCs w:val="22"/>
                <w:shd w:val="clear" w:color="auto" w:fill="FFFFFF"/>
                <w:lang w:val="en-US" w:eastAsia="zh-CN" w:bidi="ar"/>
              </w:rPr>
              <w:t>35001636207052507324</w:t>
            </w:r>
            <w:r>
              <w:rPr>
                <w:rFonts w:ascii="Calibri" w:hAnsi="Calibri" w:eastAsia="宋体" w:cs="Times New Roman"/>
                <w:color w:val="auto"/>
                <w:sz w:val="22"/>
                <w:szCs w:val="22"/>
                <w:lang w:eastAsia="zh-CN" w:bidi="ar-SA"/>
              </w:rPr>
              <w:t>；</w:t>
            </w:r>
          </w:p>
        </w:tc>
      </w:tr>
      <w:tr w14:paraId="5E4D5E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36" w:type="dxa"/>
            <w:tcBorders>
              <w:top w:val="nil"/>
              <w:left w:val="outset" w:color="000000" w:sz="6" w:space="0"/>
              <w:bottom w:val="outset" w:color="000000" w:sz="6" w:space="0"/>
              <w:right w:val="outset" w:color="000000" w:sz="6" w:space="0"/>
            </w:tcBorders>
            <w:tcMar>
              <w:top w:w="0" w:type="dxa"/>
              <w:left w:w="95" w:type="dxa"/>
              <w:bottom w:w="0" w:type="dxa"/>
              <w:right w:w="95" w:type="dxa"/>
            </w:tcMar>
            <w:vAlign w:val="center"/>
          </w:tcPr>
          <w:p w14:paraId="3BBBA025">
            <w:pPr>
              <w:keepNext w:val="0"/>
              <w:keepLines w:val="0"/>
              <w:pageBreakBefore w:val="0"/>
              <w:widowControl/>
              <w:kinsoku/>
              <w:overflowPunct/>
              <w:topLinePunct w:val="0"/>
              <w:autoSpaceDE/>
              <w:autoSpaceDN/>
              <w:bidi w:val="0"/>
              <w:adjustRightInd/>
              <w:snapToGrid/>
              <w:spacing w:line="500" w:lineRule="exact"/>
              <w:jc w:val="center"/>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特别提示</w:t>
            </w:r>
          </w:p>
        </w:tc>
      </w:tr>
      <w:tr w14:paraId="3B5207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436" w:type="dxa"/>
            <w:tcBorders>
              <w:top w:val="nil"/>
              <w:left w:val="outset" w:color="000000" w:sz="6" w:space="0"/>
              <w:bottom w:val="outset" w:color="000000" w:sz="6" w:space="0"/>
              <w:right w:val="outset" w:color="000000" w:sz="6" w:space="0"/>
            </w:tcBorders>
            <w:tcMar>
              <w:top w:w="0" w:type="dxa"/>
              <w:left w:w="95" w:type="dxa"/>
              <w:bottom w:w="0" w:type="dxa"/>
              <w:right w:w="95" w:type="dxa"/>
            </w:tcMar>
          </w:tcPr>
          <w:p w14:paraId="07395AC9">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1、投标人应认真核对账户信息，将投标保证金汇入以上账户，并自行承担因汇错投标保证金而产生的一切后果。</w:t>
            </w:r>
          </w:p>
          <w:p w14:paraId="04260EE6">
            <w:pPr>
              <w:keepNext w:val="0"/>
              <w:keepLines w:val="0"/>
              <w:pageBreakBefore w:val="0"/>
              <w:widowControl/>
              <w:kinsoku/>
              <w:overflowPunct/>
              <w:topLinePunct w:val="0"/>
              <w:autoSpaceDE/>
              <w:autoSpaceDN/>
              <w:bidi w:val="0"/>
              <w:adjustRightInd/>
              <w:snapToGrid/>
              <w:spacing w:line="240" w:lineRule="auto"/>
              <w:jc w:val="left"/>
              <w:textAlignment w:val="auto"/>
              <w:rPr>
                <w:rFonts w:ascii="宋体" w:cs="宋体"/>
                <w:kern w:val="0"/>
                <w:sz w:val="24"/>
              </w:rPr>
            </w:pPr>
            <w:r>
              <w:rPr>
                <w:rFonts w:hint="eastAsia" w:ascii="宋体" w:hAnsi="宋体" w:eastAsia="宋体" w:cs="宋体"/>
                <w:i w:val="0"/>
                <w:iCs w:val="0"/>
                <w:caps w:val="0"/>
                <w:color w:val="auto"/>
                <w:spacing w:val="0"/>
                <w:kern w:val="0"/>
                <w:sz w:val="21"/>
                <w:szCs w:val="21"/>
                <w:shd w:val="clear" w:fill="FFFFFF"/>
                <w:lang w:val="en-US" w:eastAsia="zh-CN" w:bidi="ar"/>
              </w:rPr>
              <w:t>2、投标人在转账或电汇的凭证上应按照以下格式注明，以便核对：“（招标编号：***、合同包：***）的投标保证金”</w:t>
            </w:r>
            <w:r>
              <w:rPr>
                <w:rFonts w:hint="eastAsia" w:ascii="宋体" w:hAnsi="宋体" w:cs="宋体"/>
                <w:kern w:val="0"/>
                <w:sz w:val="22"/>
                <w:szCs w:val="22"/>
              </w:rPr>
              <w:t>。</w:t>
            </w:r>
          </w:p>
        </w:tc>
      </w:tr>
    </w:tbl>
    <w:p w14:paraId="000AFE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附2：采购标的一览表</w:t>
      </w:r>
    </w:p>
    <w:p w14:paraId="7FA17B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采购包1：</w:t>
      </w:r>
    </w:p>
    <w:p w14:paraId="64CE56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color w:val="auto"/>
          <w:lang w:eastAsia="zh-CN"/>
        </w:rPr>
      </w:pPr>
      <w:r>
        <w:rPr>
          <w:rFonts w:hint="eastAsia" w:ascii="宋体" w:hAnsi="宋体" w:eastAsia="宋体" w:cs="宋体"/>
          <w:b/>
          <w:bCs/>
          <w:i w:val="0"/>
          <w:iCs w:val="0"/>
          <w:caps w:val="0"/>
          <w:color w:val="auto"/>
          <w:spacing w:val="0"/>
          <w:sz w:val="21"/>
          <w:szCs w:val="21"/>
          <w:shd w:val="clear" w:fill="FFFFFF"/>
        </w:rPr>
        <w:t>采购包预算金额（元</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0000FF"/>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240000</w:t>
      </w:r>
      <w:r>
        <w:rPr>
          <w:rFonts w:hint="eastAsia" w:ascii="宋体" w:hAnsi="宋体" w:eastAsia="宋体" w:cs="宋体"/>
          <w:i w:val="0"/>
          <w:iCs w:val="0"/>
          <w:caps w:val="0"/>
          <w:color w:val="auto"/>
          <w:spacing w:val="0"/>
          <w:sz w:val="21"/>
          <w:szCs w:val="21"/>
          <w:shd w:val="clear" w:fill="FFFFFF"/>
          <w:lang w:eastAsia="zh-CN"/>
        </w:rPr>
        <w:t>.00</w:t>
      </w:r>
    </w:p>
    <w:p w14:paraId="591F2F8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采购包保证金金额（元）</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aps w:val="0"/>
          <w:color w:val="auto"/>
          <w:spacing w:val="0"/>
          <w:sz w:val="21"/>
          <w:szCs w:val="21"/>
          <w:shd w:val="clear" w:fill="FFFFFF"/>
          <w:lang w:val="en-US" w:eastAsia="zh-CN"/>
        </w:rPr>
        <w:t>2400</w:t>
      </w:r>
      <w:r>
        <w:rPr>
          <w:rFonts w:hint="eastAsia" w:ascii="宋体" w:hAnsi="宋体" w:eastAsia="宋体" w:cs="宋体"/>
          <w:i w:val="0"/>
          <w:iCs w:val="0"/>
          <w:caps w:val="0"/>
          <w:color w:val="auto"/>
          <w:spacing w:val="0"/>
          <w:sz w:val="21"/>
          <w:szCs w:val="21"/>
          <w:shd w:val="clear" w:fill="FFFFFF"/>
        </w:rPr>
        <w:t>.00</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7"/>
        <w:gridCol w:w="1815"/>
        <w:gridCol w:w="761"/>
        <w:gridCol w:w="1605"/>
        <w:gridCol w:w="1110"/>
        <w:gridCol w:w="1215"/>
        <w:gridCol w:w="1995"/>
      </w:tblGrid>
      <w:tr w14:paraId="3C301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1" w:hRule="atLeast"/>
        </w:trPr>
        <w:tc>
          <w:tcPr>
            <w:tcW w:w="797" w:type="dxa"/>
          </w:tcPr>
          <w:p w14:paraId="378CE1CD">
            <w:pPr>
              <w:pStyle w:val="37"/>
              <w:keepNext w:val="0"/>
              <w:keepLines w:val="0"/>
              <w:pageBreakBefore w:val="0"/>
              <w:kinsoku/>
              <w:wordWrap/>
              <w:overflowPunct/>
              <w:topLinePunct w:val="0"/>
              <w:autoSpaceDE/>
              <w:autoSpaceDN/>
              <w:bidi w:val="0"/>
              <w:adjustRightInd/>
              <w:snapToGrid/>
              <w:spacing w:line="360" w:lineRule="auto"/>
              <w:jc w:val="both"/>
              <w:textAlignment w:val="auto"/>
              <w:rPr>
                <w:color w:val="auto"/>
                <w:sz w:val="22"/>
                <w:szCs w:val="22"/>
              </w:rPr>
            </w:pPr>
            <w:r>
              <w:rPr>
                <w:color w:val="auto"/>
                <w:sz w:val="22"/>
                <w:szCs w:val="22"/>
              </w:rPr>
              <w:t>序号</w:t>
            </w:r>
          </w:p>
        </w:tc>
        <w:tc>
          <w:tcPr>
            <w:tcW w:w="1815" w:type="dxa"/>
          </w:tcPr>
          <w:p w14:paraId="24538416">
            <w:pPr>
              <w:pStyle w:val="37"/>
              <w:keepNext w:val="0"/>
              <w:keepLines w:val="0"/>
              <w:pageBreakBefore w:val="0"/>
              <w:kinsoku/>
              <w:wordWrap/>
              <w:overflowPunct/>
              <w:topLinePunct w:val="0"/>
              <w:autoSpaceDE/>
              <w:autoSpaceDN/>
              <w:bidi w:val="0"/>
              <w:adjustRightInd/>
              <w:snapToGrid/>
              <w:spacing w:line="360" w:lineRule="auto"/>
              <w:jc w:val="both"/>
              <w:textAlignment w:val="auto"/>
              <w:rPr>
                <w:color w:val="auto"/>
                <w:sz w:val="22"/>
                <w:szCs w:val="22"/>
              </w:rPr>
            </w:pPr>
            <w:r>
              <w:rPr>
                <w:color w:val="auto"/>
                <w:sz w:val="22"/>
                <w:szCs w:val="22"/>
              </w:rPr>
              <w:t>标的名称</w:t>
            </w:r>
          </w:p>
        </w:tc>
        <w:tc>
          <w:tcPr>
            <w:tcW w:w="761" w:type="dxa"/>
          </w:tcPr>
          <w:p w14:paraId="26FDAAEA">
            <w:pPr>
              <w:pStyle w:val="37"/>
              <w:keepNext w:val="0"/>
              <w:keepLines w:val="0"/>
              <w:pageBreakBefore w:val="0"/>
              <w:kinsoku/>
              <w:wordWrap/>
              <w:overflowPunct/>
              <w:topLinePunct w:val="0"/>
              <w:autoSpaceDE/>
              <w:autoSpaceDN/>
              <w:bidi w:val="0"/>
              <w:adjustRightInd/>
              <w:snapToGrid/>
              <w:spacing w:line="360" w:lineRule="auto"/>
              <w:jc w:val="both"/>
              <w:textAlignment w:val="auto"/>
              <w:rPr>
                <w:color w:val="auto"/>
                <w:sz w:val="22"/>
                <w:szCs w:val="22"/>
              </w:rPr>
            </w:pPr>
            <w:r>
              <w:rPr>
                <w:color w:val="auto"/>
                <w:sz w:val="22"/>
                <w:szCs w:val="22"/>
              </w:rPr>
              <w:t>数量</w:t>
            </w:r>
          </w:p>
        </w:tc>
        <w:tc>
          <w:tcPr>
            <w:tcW w:w="1605" w:type="dxa"/>
          </w:tcPr>
          <w:p w14:paraId="5A7EAF01">
            <w:pPr>
              <w:pStyle w:val="37"/>
              <w:keepNext w:val="0"/>
              <w:keepLines w:val="0"/>
              <w:pageBreakBefore w:val="0"/>
              <w:kinsoku/>
              <w:wordWrap/>
              <w:overflowPunct/>
              <w:topLinePunct w:val="0"/>
              <w:autoSpaceDE/>
              <w:autoSpaceDN/>
              <w:bidi w:val="0"/>
              <w:adjustRightInd/>
              <w:snapToGrid/>
              <w:spacing w:line="360" w:lineRule="auto"/>
              <w:jc w:val="both"/>
              <w:textAlignment w:val="auto"/>
              <w:rPr>
                <w:color w:val="auto"/>
                <w:sz w:val="22"/>
                <w:szCs w:val="22"/>
              </w:rPr>
            </w:pPr>
            <w:r>
              <w:rPr>
                <w:color w:val="auto"/>
                <w:sz w:val="22"/>
                <w:szCs w:val="22"/>
              </w:rPr>
              <w:t>标的金额（元）</w:t>
            </w:r>
          </w:p>
        </w:tc>
        <w:tc>
          <w:tcPr>
            <w:tcW w:w="1110" w:type="dxa"/>
          </w:tcPr>
          <w:p w14:paraId="6B6DE8FA">
            <w:pPr>
              <w:pStyle w:val="37"/>
              <w:keepNext w:val="0"/>
              <w:keepLines w:val="0"/>
              <w:pageBreakBefore w:val="0"/>
              <w:kinsoku/>
              <w:wordWrap/>
              <w:overflowPunct/>
              <w:topLinePunct w:val="0"/>
              <w:autoSpaceDE/>
              <w:autoSpaceDN/>
              <w:bidi w:val="0"/>
              <w:adjustRightInd/>
              <w:snapToGrid/>
              <w:spacing w:line="360" w:lineRule="auto"/>
              <w:jc w:val="both"/>
              <w:textAlignment w:val="auto"/>
              <w:rPr>
                <w:color w:val="auto"/>
                <w:sz w:val="22"/>
                <w:szCs w:val="22"/>
              </w:rPr>
            </w:pPr>
            <w:r>
              <w:rPr>
                <w:color w:val="auto"/>
                <w:sz w:val="22"/>
                <w:szCs w:val="22"/>
              </w:rPr>
              <w:t>计量单位</w:t>
            </w:r>
          </w:p>
        </w:tc>
        <w:tc>
          <w:tcPr>
            <w:tcW w:w="1215" w:type="dxa"/>
          </w:tcPr>
          <w:p w14:paraId="0BD62854">
            <w:pPr>
              <w:pStyle w:val="37"/>
              <w:keepNext w:val="0"/>
              <w:keepLines w:val="0"/>
              <w:pageBreakBefore w:val="0"/>
              <w:kinsoku/>
              <w:wordWrap/>
              <w:overflowPunct/>
              <w:topLinePunct w:val="0"/>
              <w:autoSpaceDE/>
              <w:autoSpaceDN/>
              <w:bidi w:val="0"/>
              <w:adjustRightInd/>
              <w:snapToGrid/>
              <w:spacing w:line="360" w:lineRule="auto"/>
              <w:jc w:val="both"/>
              <w:textAlignment w:val="auto"/>
              <w:rPr>
                <w:color w:val="auto"/>
                <w:sz w:val="22"/>
                <w:szCs w:val="22"/>
              </w:rPr>
            </w:pPr>
            <w:r>
              <w:rPr>
                <w:color w:val="auto"/>
                <w:sz w:val="22"/>
                <w:szCs w:val="22"/>
              </w:rPr>
              <w:t>所属行业</w:t>
            </w:r>
          </w:p>
        </w:tc>
        <w:tc>
          <w:tcPr>
            <w:tcW w:w="1995" w:type="dxa"/>
          </w:tcPr>
          <w:p w14:paraId="6439A1B2">
            <w:pPr>
              <w:pStyle w:val="37"/>
              <w:keepNext w:val="0"/>
              <w:keepLines w:val="0"/>
              <w:pageBreakBefore w:val="0"/>
              <w:kinsoku/>
              <w:wordWrap/>
              <w:overflowPunct/>
              <w:topLinePunct w:val="0"/>
              <w:autoSpaceDE/>
              <w:autoSpaceDN/>
              <w:bidi w:val="0"/>
              <w:adjustRightInd/>
              <w:snapToGrid/>
              <w:spacing w:line="360" w:lineRule="auto"/>
              <w:jc w:val="both"/>
              <w:textAlignment w:val="auto"/>
              <w:rPr>
                <w:color w:val="auto"/>
                <w:sz w:val="22"/>
                <w:szCs w:val="22"/>
              </w:rPr>
            </w:pPr>
            <w:r>
              <w:rPr>
                <w:color w:val="auto"/>
                <w:sz w:val="22"/>
                <w:szCs w:val="22"/>
              </w:rPr>
              <w:t>是否允许进口产品</w:t>
            </w:r>
          </w:p>
        </w:tc>
      </w:tr>
      <w:tr w14:paraId="1AACC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Pr>
          <w:p w14:paraId="6F9B6421">
            <w:pPr>
              <w:pStyle w:val="37"/>
              <w:keepNext w:val="0"/>
              <w:keepLines w:val="0"/>
              <w:pageBreakBefore w:val="0"/>
              <w:kinsoku/>
              <w:wordWrap/>
              <w:overflowPunct/>
              <w:topLinePunct w:val="0"/>
              <w:autoSpaceDE/>
              <w:autoSpaceDN/>
              <w:bidi w:val="0"/>
              <w:adjustRightInd/>
              <w:snapToGrid/>
              <w:spacing w:line="360" w:lineRule="auto"/>
              <w:ind w:left="0" w:firstLine="440" w:firstLineChars="200"/>
              <w:jc w:val="both"/>
              <w:textAlignment w:val="auto"/>
              <w:rPr>
                <w:color w:val="auto"/>
                <w:sz w:val="22"/>
                <w:szCs w:val="22"/>
              </w:rPr>
            </w:pPr>
            <w:r>
              <w:rPr>
                <w:color w:val="auto"/>
                <w:sz w:val="22"/>
                <w:szCs w:val="22"/>
              </w:rPr>
              <w:t>1</w:t>
            </w:r>
          </w:p>
        </w:tc>
        <w:tc>
          <w:tcPr>
            <w:tcW w:w="1815" w:type="dxa"/>
          </w:tcPr>
          <w:p w14:paraId="5B27BF05">
            <w:pPr>
              <w:pStyle w:val="37"/>
              <w:keepNext w:val="0"/>
              <w:keepLines w:val="0"/>
              <w:pageBreakBefore w:val="0"/>
              <w:kinsoku/>
              <w:wordWrap/>
              <w:overflowPunct/>
              <w:topLinePunct w:val="0"/>
              <w:autoSpaceDE/>
              <w:autoSpaceDN/>
              <w:bidi w:val="0"/>
              <w:adjustRightInd/>
              <w:snapToGrid/>
              <w:spacing w:line="360" w:lineRule="auto"/>
              <w:jc w:val="both"/>
              <w:textAlignment w:val="auto"/>
              <w:rPr>
                <w:rFonts w:hint="eastAsia" w:eastAsiaTheme="minorEastAsia"/>
                <w:color w:val="auto"/>
                <w:sz w:val="22"/>
                <w:szCs w:val="22"/>
                <w:lang w:eastAsia="zh-CN"/>
              </w:rPr>
            </w:pPr>
            <w:r>
              <w:rPr>
                <w:rFonts w:hint="eastAsia"/>
                <w:color w:val="auto"/>
                <w:sz w:val="22"/>
                <w:szCs w:val="22"/>
                <w:lang w:eastAsia="zh-CN"/>
              </w:rPr>
              <w:t>莆田城市园林发展集团有限公司资产评估项目</w:t>
            </w:r>
          </w:p>
        </w:tc>
        <w:tc>
          <w:tcPr>
            <w:tcW w:w="761" w:type="dxa"/>
          </w:tcPr>
          <w:p w14:paraId="5C1DC839">
            <w:pPr>
              <w:pStyle w:val="37"/>
              <w:keepNext w:val="0"/>
              <w:keepLines w:val="0"/>
              <w:pageBreakBefore w:val="0"/>
              <w:kinsoku/>
              <w:wordWrap/>
              <w:overflowPunct/>
              <w:topLinePunct w:val="0"/>
              <w:autoSpaceDE/>
              <w:autoSpaceDN/>
              <w:bidi w:val="0"/>
              <w:adjustRightInd/>
              <w:snapToGrid/>
              <w:spacing w:line="360" w:lineRule="auto"/>
              <w:jc w:val="both"/>
              <w:textAlignment w:val="auto"/>
              <w:rPr>
                <w:color w:val="auto"/>
                <w:sz w:val="22"/>
                <w:szCs w:val="22"/>
              </w:rPr>
            </w:pPr>
            <w:r>
              <w:rPr>
                <w:rFonts w:hint="eastAsia"/>
                <w:color w:val="auto"/>
                <w:sz w:val="22"/>
                <w:szCs w:val="22"/>
                <w:lang w:val="en-US" w:eastAsia="zh-CN"/>
              </w:rPr>
              <w:t>1</w:t>
            </w:r>
            <w:r>
              <w:rPr>
                <w:color w:val="auto"/>
                <w:sz w:val="22"/>
                <w:szCs w:val="22"/>
              </w:rPr>
              <w:t>.00</w:t>
            </w:r>
          </w:p>
        </w:tc>
        <w:tc>
          <w:tcPr>
            <w:tcW w:w="1605" w:type="dxa"/>
          </w:tcPr>
          <w:p w14:paraId="70F3DA7B">
            <w:pPr>
              <w:pStyle w:val="37"/>
              <w:keepNext w:val="0"/>
              <w:keepLines w:val="0"/>
              <w:pageBreakBefore w:val="0"/>
              <w:kinsoku/>
              <w:wordWrap/>
              <w:overflowPunct/>
              <w:topLinePunct w:val="0"/>
              <w:autoSpaceDE/>
              <w:autoSpaceDN/>
              <w:bidi w:val="0"/>
              <w:adjustRightInd/>
              <w:snapToGrid/>
              <w:spacing w:line="360" w:lineRule="auto"/>
              <w:jc w:val="both"/>
              <w:textAlignment w:val="auto"/>
              <w:rPr>
                <w:rFonts w:hint="eastAsia" w:eastAsiaTheme="minorEastAsia"/>
                <w:color w:val="auto"/>
                <w:sz w:val="22"/>
                <w:szCs w:val="22"/>
                <w:lang w:eastAsia="zh-CN"/>
              </w:rPr>
            </w:pPr>
            <w:r>
              <w:rPr>
                <w:rFonts w:hint="eastAsia"/>
                <w:color w:val="auto"/>
                <w:sz w:val="22"/>
                <w:szCs w:val="22"/>
                <w:lang w:val="en-US" w:eastAsia="zh-CN"/>
              </w:rPr>
              <w:t>240000</w:t>
            </w:r>
            <w:r>
              <w:rPr>
                <w:rFonts w:hint="eastAsia"/>
                <w:color w:val="auto"/>
                <w:sz w:val="22"/>
                <w:szCs w:val="22"/>
                <w:lang w:eastAsia="zh-CN"/>
              </w:rPr>
              <w:t>.00</w:t>
            </w:r>
          </w:p>
          <w:p w14:paraId="0F465D64">
            <w:pPr>
              <w:pStyle w:val="37"/>
              <w:keepNext w:val="0"/>
              <w:keepLines w:val="0"/>
              <w:pageBreakBefore w:val="0"/>
              <w:kinsoku/>
              <w:wordWrap/>
              <w:overflowPunct/>
              <w:topLinePunct w:val="0"/>
              <w:autoSpaceDE/>
              <w:autoSpaceDN/>
              <w:bidi w:val="0"/>
              <w:adjustRightInd/>
              <w:snapToGrid/>
              <w:spacing w:line="360" w:lineRule="auto"/>
              <w:ind w:left="0" w:firstLine="440" w:firstLineChars="200"/>
              <w:jc w:val="right"/>
              <w:textAlignment w:val="auto"/>
              <w:rPr>
                <w:rFonts w:hint="eastAsia" w:eastAsiaTheme="minorEastAsia"/>
                <w:color w:val="auto"/>
                <w:sz w:val="22"/>
                <w:szCs w:val="22"/>
                <w:lang w:eastAsia="zh-CN"/>
              </w:rPr>
            </w:pPr>
          </w:p>
        </w:tc>
        <w:tc>
          <w:tcPr>
            <w:tcW w:w="1110" w:type="dxa"/>
          </w:tcPr>
          <w:p w14:paraId="39AF8099">
            <w:pPr>
              <w:pStyle w:val="37"/>
              <w:keepNext w:val="0"/>
              <w:keepLines w:val="0"/>
              <w:pageBreakBefore w:val="0"/>
              <w:kinsoku/>
              <w:wordWrap/>
              <w:overflowPunct/>
              <w:topLinePunct w:val="0"/>
              <w:autoSpaceDE/>
              <w:autoSpaceDN/>
              <w:bidi w:val="0"/>
              <w:adjustRightInd/>
              <w:snapToGrid/>
              <w:spacing w:line="360" w:lineRule="auto"/>
              <w:jc w:val="both"/>
              <w:textAlignment w:val="auto"/>
              <w:rPr>
                <w:rFonts w:hint="default" w:eastAsiaTheme="minorEastAsia"/>
                <w:color w:val="auto"/>
                <w:sz w:val="22"/>
                <w:szCs w:val="22"/>
                <w:lang w:val="en-US" w:eastAsia="zh-CN"/>
              </w:rPr>
            </w:pPr>
            <w:r>
              <w:rPr>
                <w:rFonts w:hint="eastAsia"/>
                <w:color w:val="auto"/>
                <w:sz w:val="22"/>
                <w:szCs w:val="22"/>
                <w:lang w:val="en-US" w:eastAsia="zh-CN"/>
              </w:rPr>
              <w:t>批</w:t>
            </w:r>
          </w:p>
        </w:tc>
        <w:tc>
          <w:tcPr>
            <w:tcW w:w="1215" w:type="dxa"/>
          </w:tcPr>
          <w:p w14:paraId="53D4D997">
            <w:pPr>
              <w:pStyle w:val="37"/>
              <w:keepNext w:val="0"/>
              <w:keepLines w:val="0"/>
              <w:pageBreakBefore w:val="0"/>
              <w:kinsoku/>
              <w:wordWrap/>
              <w:overflowPunct/>
              <w:topLinePunct w:val="0"/>
              <w:autoSpaceDE/>
              <w:autoSpaceDN/>
              <w:bidi w:val="0"/>
              <w:adjustRightInd/>
              <w:snapToGrid/>
              <w:spacing w:line="360" w:lineRule="auto"/>
              <w:jc w:val="both"/>
              <w:textAlignment w:val="auto"/>
              <w:rPr>
                <w:rFonts w:hint="eastAsia" w:eastAsiaTheme="minorEastAsia"/>
                <w:color w:val="auto"/>
                <w:sz w:val="22"/>
                <w:szCs w:val="22"/>
                <w:lang w:eastAsia="zh-CN"/>
              </w:rPr>
            </w:pPr>
            <w:r>
              <w:rPr>
                <w:rFonts w:hint="eastAsia"/>
                <w:color w:val="auto"/>
                <w:sz w:val="22"/>
                <w:szCs w:val="22"/>
                <w:lang w:eastAsia="zh-CN"/>
              </w:rPr>
              <w:t>其他未列明行业</w:t>
            </w:r>
          </w:p>
          <w:p w14:paraId="1AF112D7">
            <w:pPr>
              <w:pStyle w:val="37"/>
              <w:keepNext w:val="0"/>
              <w:keepLines w:val="0"/>
              <w:pageBreakBefore w:val="0"/>
              <w:kinsoku/>
              <w:wordWrap/>
              <w:overflowPunct/>
              <w:topLinePunct w:val="0"/>
              <w:autoSpaceDE/>
              <w:autoSpaceDN/>
              <w:bidi w:val="0"/>
              <w:adjustRightInd/>
              <w:snapToGrid/>
              <w:spacing w:line="360" w:lineRule="auto"/>
              <w:ind w:left="0" w:firstLine="440" w:firstLineChars="200"/>
              <w:jc w:val="both"/>
              <w:textAlignment w:val="auto"/>
              <w:rPr>
                <w:rFonts w:hint="eastAsia" w:eastAsiaTheme="minorEastAsia"/>
                <w:color w:val="auto"/>
                <w:sz w:val="22"/>
                <w:szCs w:val="22"/>
                <w:lang w:eastAsia="zh-CN"/>
              </w:rPr>
            </w:pPr>
          </w:p>
        </w:tc>
        <w:tc>
          <w:tcPr>
            <w:tcW w:w="1995" w:type="dxa"/>
          </w:tcPr>
          <w:p w14:paraId="0B5CFF87">
            <w:pPr>
              <w:pStyle w:val="37"/>
              <w:keepNext w:val="0"/>
              <w:keepLines w:val="0"/>
              <w:pageBreakBefore w:val="0"/>
              <w:kinsoku/>
              <w:wordWrap/>
              <w:overflowPunct/>
              <w:topLinePunct w:val="0"/>
              <w:autoSpaceDE/>
              <w:autoSpaceDN/>
              <w:bidi w:val="0"/>
              <w:adjustRightInd/>
              <w:snapToGrid/>
              <w:spacing w:line="360" w:lineRule="auto"/>
              <w:ind w:left="0" w:firstLine="440" w:firstLineChars="200"/>
              <w:jc w:val="both"/>
              <w:textAlignment w:val="auto"/>
              <w:rPr>
                <w:color w:val="auto"/>
                <w:sz w:val="22"/>
                <w:szCs w:val="22"/>
              </w:rPr>
            </w:pPr>
            <w:r>
              <w:rPr>
                <w:color w:val="auto"/>
                <w:sz w:val="22"/>
                <w:szCs w:val="22"/>
              </w:rPr>
              <w:t>否</w:t>
            </w:r>
          </w:p>
        </w:tc>
      </w:tr>
    </w:tbl>
    <w:p w14:paraId="547AFFD6">
      <w:pPr>
        <w:rPr>
          <w:rFonts w:hint="eastAsia"/>
        </w:rPr>
      </w:pPr>
    </w:p>
    <w:p w14:paraId="31C434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i w:val="0"/>
          <w:iCs w:val="0"/>
          <w:caps w:val="0"/>
          <w:color w:val="auto"/>
          <w:spacing w:val="0"/>
          <w:sz w:val="22"/>
          <w:szCs w:val="22"/>
          <w:shd w:val="clear" w:fill="FFFFFF"/>
        </w:rPr>
      </w:pPr>
      <w:r>
        <w:rPr>
          <w:rFonts w:hint="eastAsia" w:ascii="宋体" w:hAnsi="宋体" w:eastAsia="宋体" w:cs="宋体"/>
          <w:b w:val="0"/>
          <w:bCs w:val="0"/>
          <w:i w:val="0"/>
          <w:iCs w:val="0"/>
          <w:caps w:val="0"/>
          <w:color w:val="auto"/>
          <w:spacing w:val="0"/>
          <w:sz w:val="22"/>
          <w:szCs w:val="22"/>
          <w:shd w:val="clear" w:fill="FFFFFF"/>
        </w:rPr>
        <w:t>备注：</w:t>
      </w:r>
    </w:p>
    <w:p w14:paraId="49318F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1、本次采购设有最高限价，高于最高限价视为投标无效。</w:t>
      </w:r>
    </w:p>
    <w:p w14:paraId="5AD4E1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2、投标报价：</w:t>
      </w:r>
    </w:p>
    <w:p w14:paraId="1BC4EA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2.1、投标人应结合市场实际情况及自身潜力自行报价并将可能发生的一切风险因素按一定的风险系数计入投标报价，投标报价单位采用人民币表示。</w:t>
      </w:r>
    </w:p>
    <w:p w14:paraId="0CFB41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2.2、投标人需自行承担所有参与投标报价有关的全部费用，不管投标结果如何采购人对上述费用不负任何责任。</w:t>
      </w:r>
    </w:p>
    <w:p w14:paraId="1A467C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i w:val="0"/>
          <w:iCs w:val="0"/>
          <w:caps w:val="0"/>
          <w:color w:val="auto"/>
          <w:spacing w:val="0"/>
          <w:sz w:val="22"/>
          <w:szCs w:val="22"/>
          <w:shd w:val="clear" w:color="auto" w:fill="FFFFFF"/>
        </w:rPr>
      </w:pPr>
      <w:r>
        <w:rPr>
          <w:rFonts w:hint="eastAsia" w:ascii="宋体" w:hAnsi="宋体" w:eastAsia="宋体" w:cs="宋体"/>
          <w:b w:val="0"/>
          <w:bCs w:val="0"/>
          <w:i w:val="0"/>
          <w:iCs w:val="0"/>
          <w:caps w:val="0"/>
          <w:color w:val="auto"/>
          <w:spacing w:val="0"/>
          <w:sz w:val="22"/>
          <w:szCs w:val="22"/>
          <w:shd w:val="clear" w:color="auto" w:fill="FFFFFF"/>
        </w:rPr>
        <w:t>2.3、投标人须按采购包进行投标报价，不得将同一采购包内容拆分进行投标报价，拆分投标报价、漏项报价、同一采购包两个（含）以上报价无效。</w:t>
      </w:r>
    </w:p>
    <w:p w14:paraId="018383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iCs w:val="0"/>
          <w:caps w:val="0"/>
          <w:color w:val="0000FF"/>
          <w:spacing w:val="0"/>
          <w:sz w:val="22"/>
          <w:szCs w:val="22"/>
          <w:shd w:val="clear" w:color="auto" w:fill="FFFFFF"/>
          <w:lang w:val="en-US" w:eastAsia="zh-CN"/>
        </w:rPr>
      </w:pPr>
      <w:r>
        <w:rPr>
          <w:rFonts w:hint="eastAsia" w:ascii="宋体" w:hAnsi="宋体" w:eastAsia="宋体" w:cs="宋体"/>
          <w:b/>
          <w:bCs/>
          <w:i w:val="0"/>
          <w:iCs w:val="0"/>
          <w:caps w:val="0"/>
          <w:color w:val="0000FF"/>
          <w:spacing w:val="0"/>
          <w:sz w:val="22"/>
          <w:szCs w:val="22"/>
          <w:shd w:val="clear" w:color="auto" w:fill="FFFFFF"/>
          <w:lang w:val="en-US" w:eastAsia="zh-CN"/>
        </w:rPr>
        <w:t>2.4近三年内未因不良行为被相关行政部门通报。供应商应提供《诚信承诺书》（附件）加盖公章后，以jpg或者pdf的形式上传至莆田城市园林发展集团有限公司招标采购网。</w:t>
      </w:r>
    </w:p>
    <w:p w14:paraId="7B1CB74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b/>
          <w:bCs/>
          <w:i w:val="0"/>
          <w:iCs w:val="0"/>
          <w:caps w:val="0"/>
          <w:color w:val="0000FF"/>
          <w:spacing w:val="0"/>
          <w:sz w:val="22"/>
          <w:szCs w:val="22"/>
          <w:shd w:val="clear" w:color="auto" w:fill="FFFFFF"/>
          <w:lang w:val="en-US" w:eastAsia="zh-CN"/>
        </w:rPr>
      </w:pPr>
      <w:r>
        <w:rPr>
          <w:rFonts w:hint="eastAsia" w:ascii="宋体" w:hAnsi="宋体" w:eastAsia="宋体" w:cs="宋体"/>
          <w:b/>
          <w:bCs/>
          <w:i w:val="0"/>
          <w:iCs w:val="0"/>
          <w:caps w:val="0"/>
          <w:color w:val="0000FF"/>
          <w:spacing w:val="0"/>
          <w:sz w:val="22"/>
          <w:szCs w:val="22"/>
          <w:shd w:val="clear" w:color="auto" w:fill="FFFFFF"/>
          <w:lang w:val="en-US" w:eastAsia="zh-CN"/>
        </w:rPr>
        <w:t>2.5投标人在莆田城市园林发展集团有限公司招标采购网报价时需填报</w:t>
      </w:r>
      <w:r>
        <w:rPr>
          <w:rFonts w:hint="eastAsia" w:ascii="宋体" w:hAnsi="宋体" w:eastAsia="宋体" w:cs="宋体"/>
          <w:b/>
          <w:bCs/>
          <w:i w:val="0"/>
          <w:iCs w:val="0"/>
          <w:caps w:val="0"/>
          <w:color w:val="0000FF"/>
          <w:spacing w:val="0"/>
          <w:sz w:val="22"/>
          <w:szCs w:val="22"/>
          <w:highlight w:val="none"/>
          <w:shd w:val="clear" w:color="auto" w:fill="FFFFFF"/>
          <w:lang w:val="en-US" w:eastAsia="zh-CN"/>
        </w:rPr>
        <w:t>总价</w:t>
      </w:r>
      <w:r>
        <w:rPr>
          <w:rFonts w:hint="eastAsia" w:ascii="宋体" w:hAnsi="宋体" w:eastAsia="宋体" w:cs="宋体"/>
          <w:b/>
          <w:bCs/>
          <w:i w:val="0"/>
          <w:iCs w:val="0"/>
          <w:caps w:val="0"/>
          <w:color w:val="0000FF"/>
          <w:spacing w:val="0"/>
          <w:sz w:val="22"/>
          <w:szCs w:val="22"/>
          <w:shd w:val="clear" w:color="auto" w:fill="FFFFFF"/>
          <w:lang w:val="en-US" w:eastAsia="zh-CN"/>
        </w:rPr>
        <w:t>，除此之外供应商需携带本招标文件所需完整投标文件按规定时间地点参加现场开标会。线上报价的总价需与纸质投标文件保持一致，不一致者按废标处理。</w:t>
      </w:r>
    </w:p>
    <w:p w14:paraId="65C519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 w:val="0"/>
          <w:iCs w:val="0"/>
          <w:caps w:val="0"/>
          <w:color w:val="auto"/>
          <w:spacing w:val="0"/>
          <w:sz w:val="22"/>
          <w:szCs w:val="22"/>
          <w:shd w:val="clear" w:fill="FFFFFF"/>
        </w:rPr>
      </w:pPr>
      <w:r>
        <w:rPr>
          <w:rFonts w:hint="eastAsia" w:ascii="宋体" w:hAnsi="宋体" w:eastAsia="宋体" w:cs="宋体"/>
          <w:b/>
          <w:bCs/>
          <w:i w:val="0"/>
          <w:iCs w:val="0"/>
          <w:caps w:val="0"/>
          <w:color w:val="auto"/>
          <w:spacing w:val="0"/>
          <w:sz w:val="22"/>
          <w:szCs w:val="22"/>
          <w:shd w:val="clear" w:fill="FFFFFF"/>
        </w:rPr>
        <w:br w:type="page"/>
      </w:r>
    </w:p>
    <w:p w14:paraId="4CE923D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rPr>
      </w:pPr>
      <w:r>
        <w:rPr>
          <w:rFonts w:hint="eastAsia" w:ascii="宋体" w:hAnsi="宋体" w:eastAsia="宋体" w:cs="宋体"/>
          <w:b/>
          <w:bCs/>
          <w:i w:val="0"/>
          <w:iCs w:val="0"/>
          <w:caps w:val="0"/>
          <w:color w:val="auto"/>
          <w:spacing w:val="0"/>
          <w:sz w:val="39"/>
          <w:szCs w:val="39"/>
          <w:shd w:val="clear" w:fill="FFFFFF"/>
        </w:rPr>
        <w:t>第二章 投标人须知前附表</w:t>
      </w:r>
    </w:p>
    <w:p w14:paraId="2D14470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一、投标人须知前附表1</w:t>
      </w:r>
    </w:p>
    <w:tbl>
      <w:tblPr>
        <w:tblStyle w:val="18"/>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96"/>
        <w:gridCol w:w="1477"/>
        <w:gridCol w:w="7701"/>
      </w:tblGrid>
      <w:tr w14:paraId="4DF8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674" w:type="dxa"/>
            <w:gridSpan w:val="3"/>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471567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特别提示：本表与招标文件对应章节的内容若不一致，以本表为准。</w:t>
            </w:r>
          </w:p>
        </w:tc>
      </w:tr>
      <w:tr w14:paraId="40D3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64604E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序号</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B2B62E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招标文件</w:t>
            </w:r>
          </w:p>
          <w:p w14:paraId="1AD91D5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（第三章）</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CCB908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编列内容</w:t>
            </w:r>
          </w:p>
        </w:tc>
      </w:tr>
      <w:tr w14:paraId="65D7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F245BC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354C9D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6.1</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B7D89F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是否组织现场考察或召开开标前答疑会：</w:t>
            </w:r>
          </w:p>
          <w:p w14:paraId="64171B0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采购包1：不组织</w:t>
            </w:r>
          </w:p>
        </w:tc>
      </w:tr>
      <w:tr w14:paraId="1D81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BE5CAF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2</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65301A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10.4</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2FF4DE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投标文件的份数：</w:t>
            </w:r>
          </w:p>
          <w:p w14:paraId="02A0941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i w:val="0"/>
                <w:caps w:val="0"/>
                <w:color w:val="333333"/>
                <w:spacing w:val="0"/>
                <w:sz w:val="21"/>
                <w:szCs w:val="21"/>
              </w:rPr>
              <w:t>（1）纸质响应文件</w:t>
            </w:r>
          </w:p>
          <w:p w14:paraId="48C2BEF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0000FF"/>
              </w:rPr>
            </w:pPr>
            <w:r>
              <w:rPr>
                <w:rFonts w:hint="eastAsia" w:ascii="宋体" w:hAnsi="宋体" w:eastAsia="宋体" w:cs="宋体"/>
                <w:i w:val="0"/>
                <w:caps w:val="0"/>
                <w:color w:val="0000FF"/>
                <w:spacing w:val="0"/>
                <w:sz w:val="21"/>
                <w:szCs w:val="21"/>
              </w:rPr>
              <w:t>①资格及资信证明部分的正本1份、副本</w:t>
            </w:r>
            <w:r>
              <w:rPr>
                <w:rFonts w:hint="eastAsia" w:ascii="宋体" w:hAnsi="宋体" w:eastAsia="宋体" w:cs="宋体"/>
                <w:i w:val="0"/>
                <w:caps w:val="0"/>
                <w:color w:val="0000FF"/>
                <w:spacing w:val="0"/>
                <w:sz w:val="21"/>
                <w:szCs w:val="21"/>
                <w:lang w:val="en-US" w:eastAsia="zh-CN"/>
              </w:rPr>
              <w:t>2</w:t>
            </w:r>
            <w:r>
              <w:rPr>
                <w:rFonts w:hint="eastAsia" w:ascii="宋体" w:hAnsi="宋体" w:eastAsia="宋体" w:cs="宋体"/>
                <w:i w:val="0"/>
                <w:caps w:val="0"/>
                <w:color w:val="0000FF"/>
                <w:spacing w:val="0"/>
                <w:sz w:val="21"/>
                <w:szCs w:val="21"/>
              </w:rPr>
              <w:t>份，报价部分的正本1份、副本</w:t>
            </w:r>
            <w:r>
              <w:rPr>
                <w:rFonts w:hint="eastAsia" w:ascii="宋体" w:hAnsi="宋体" w:eastAsia="宋体" w:cs="宋体"/>
                <w:i w:val="0"/>
                <w:caps w:val="0"/>
                <w:color w:val="0000FF"/>
                <w:spacing w:val="0"/>
                <w:sz w:val="21"/>
                <w:szCs w:val="21"/>
                <w:lang w:val="en-US" w:eastAsia="zh-CN"/>
              </w:rPr>
              <w:t>2</w:t>
            </w:r>
            <w:r>
              <w:rPr>
                <w:rFonts w:hint="eastAsia" w:ascii="宋体" w:hAnsi="宋体" w:eastAsia="宋体" w:cs="宋体"/>
                <w:i w:val="0"/>
                <w:caps w:val="0"/>
                <w:color w:val="0000FF"/>
                <w:spacing w:val="0"/>
                <w:sz w:val="21"/>
                <w:szCs w:val="21"/>
              </w:rPr>
              <w:t>份，技术商务部分的正本1份、副本</w:t>
            </w:r>
            <w:r>
              <w:rPr>
                <w:rFonts w:hint="eastAsia" w:ascii="宋体" w:hAnsi="宋体" w:eastAsia="宋体" w:cs="宋体"/>
                <w:i w:val="0"/>
                <w:caps w:val="0"/>
                <w:color w:val="0000FF"/>
                <w:spacing w:val="0"/>
                <w:sz w:val="21"/>
                <w:szCs w:val="21"/>
                <w:lang w:val="en-US" w:eastAsia="zh-CN"/>
              </w:rPr>
              <w:t>2</w:t>
            </w:r>
            <w:r>
              <w:rPr>
                <w:rFonts w:hint="eastAsia" w:ascii="宋体" w:hAnsi="宋体" w:eastAsia="宋体" w:cs="宋体"/>
                <w:i w:val="0"/>
                <w:caps w:val="0"/>
                <w:color w:val="0000FF"/>
                <w:spacing w:val="0"/>
                <w:sz w:val="21"/>
                <w:szCs w:val="21"/>
              </w:rPr>
              <w:t>份。</w:t>
            </w:r>
          </w:p>
          <w:p w14:paraId="2D327F0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caps w:val="0"/>
                <w:color w:val="333333"/>
                <w:spacing w:val="0"/>
                <w:sz w:val="21"/>
                <w:szCs w:val="21"/>
              </w:rPr>
              <w:t>②可读介质（光盘或U盘）</w:t>
            </w:r>
            <w:r>
              <w:rPr>
                <w:rFonts w:hint="eastAsia" w:ascii="宋体" w:hAnsi="宋体" w:eastAsia="宋体" w:cs="宋体"/>
                <w:i w:val="0"/>
                <w:caps w:val="0"/>
                <w:color w:val="auto"/>
                <w:spacing w:val="0"/>
                <w:sz w:val="21"/>
                <w:szCs w:val="21"/>
              </w:rPr>
              <w:t> 1</w:t>
            </w:r>
            <w:r>
              <w:rPr>
                <w:rFonts w:hint="eastAsia" w:ascii="宋体" w:hAnsi="宋体" w:eastAsia="宋体" w:cs="宋体"/>
                <w:i w:val="0"/>
                <w:caps w:val="0"/>
                <w:color w:val="333333"/>
                <w:spacing w:val="0"/>
                <w:sz w:val="21"/>
                <w:szCs w:val="21"/>
              </w:rPr>
              <w:t> 份。</w:t>
            </w:r>
          </w:p>
        </w:tc>
      </w:tr>
      <w:tr w14:paraId="1A0A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638979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3</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03D174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10.7-（1）</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6E5A34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是否允许中标人将本项目的非主体、非关键性工作进行分包：</w:t>
            </w:r>
          </w:p>
          <w:p w14:paraId="2F3503C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采购包1：不允许合同分包；</w:t>
            </w:r>
          </w:p>
        </w:tc>
      </w:tr>
      <w:tr w14:paraId="1BCE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F2553F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4</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4BCCFB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10.8-（1）</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481A2B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投标有效期：投标截止时间起 90 个日历日。</w:t>
            </w:r>
          </w:p>
        </w:tc>
      </w:tr>
      <w:tr w14:paraId="72C0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EF0A4B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5</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9FFA04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12.1</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05E39B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确定中标候选人名单：</w:t>
            </w:r>
          </w:p>
          <w:p w14:paraId="71DE2E8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采购包1：</w:t>
            </w:r>
            <w:r>
              <w:rPr>
                <w:rFonts w:hint="eastAsia" w:ascii="宋体" w:hAnsi="宋体" w:eastAsia="宋体"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名</w:t>
            </w:r>
          </w:p>
        </w:tc>
      </w:tr>
      <w:tr w14:paraId="68F4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E1A2A1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6</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7818702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12.2</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5E5DB5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本项目中标人的确定（以采购包为单位）：</w:t>
            </w:r>
          </w:p>
          <w:p w14:paraId="72AA49A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（1）采购人应在政府采购招投标管理办法规定的时限内确定中标人。</w:t>
            </w:r>
          </w:p>
          <w:p w14:paraId="01DDAC6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（2）若出现中标候选人并列情形，则按照下列方式确定中标人：</w:t>
            </w:r>
          </w:p>
          <w:p w14:paraId="2DB00CE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①招标文件规定的方式：</w:t>
            </w:r>
            <w:r>
              <w:rPr>
                <w:rFonts w:hint="eastAsia" w:ascii="宋体" w:hAnsi="宋体" w:eastAsia="宋体" w:cs="宋体"/>
                <w:i w:val="0"/>
                <w:iCs w:val="0"/>
                <w:caps w:val="0"/>
                <w:color w:val="auto"/>
                <w:spacing w:val="0"/>
                <w:sz w:val="21"/>
                <w:szCs w:val="21"/>
                <w:lang w:val="en-US" w:eastAsia="zh-CN"/>
              </w:rPr>
              <w:t>无</w:t>
            </w:r>
          </w:p>
          <w:p w14:paraId="3156BD9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②若本款第①点规定方式为“无”，则按照下列方式确定：</w:t>
            </w:r>
          </w:p>
          <w:p w14:paraId="3FD13AD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无</w:t>
            </w:r>
          </w:p>
          <w:p w14:paraId="00A1468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③若本款第①、②点规定方式均为“无”，则按照下列方式确定：随机抽取。</w:t>
            </w:r>
          </w:p>
          <w:p w14:paraId="7F9AAB3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（3）本项目确定的中标人家数：</w:t>
            </w:r>
          </w:p>
          <w:p w14:paraId="41739EB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采购包1：1名</w:t>
            </w:r>
          </w:p>
        </w:tc>
      </w:tr>
      <w:tr w14:paraId="503B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886538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7</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049450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13.2</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09EC8FB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合同签订时限：自中标通知书发出之日起</w:t>
            </w:r>
            <w:r>
              <w:rPr>
                <w:rFonts w:hint="eastAsia" w:eastAsia="宋体"/>
                <w:lang w:val="en-US" w:eastAsia="zh-CN"/>
              </w:rPr>
              <w:t>7</w:t>
            </w:r>
            <w:r>
              <w:rPr>
                <w:rFonts w:hint="eastAsia" w:ascii="宋体" w:hAnsi="宋体" w:eastAsia="宋体" w:cs="宋体"/>
                <w:i w:val="0"/>
                <w:iCs w:val="0"/>
                <w:caps w:val="0"/>
                <w:color w:val="auto"/>
                <w:spacing w:val="0"/>
                <w:sz w:val="21"/>
                <w:szCs w:val="21"/>
              </w:rPr>
              <w:t>个日历日内。</w:t>
            </w:r>
          </w:p>
        </w:tc>
      </w:tr>
      <w:tr w14:paraId="0C89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F6F274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8</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54EFC0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15.1-（2）</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2D27F1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质疑函原件应采用下列方式提交：书面形式。</w:t>
            </w:r>
          </w:p>
        </w:tc>
      </w:tr>
      <w:tr w14:paraId="7493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CDC7B1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9</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F84EFA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15.4</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E4F068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招标文件的质疑</w:t>
            </w:r>
          </w:p>
          <w:p w14:paraId="29CFD72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（1）潜在投标人可在质疑时效期间内对招标文件以书面形式提出质疑。</w:t>
            </w:r>
          </w:p>
          <w:p w14:paraId="00BA809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lang w:eastAsia="zh-CN"/>
              </w:rPr>
            </w:pPr>
            <w:r>
              <w:rPr>
                <w:rFonts w:hint="eastAsia" w:ascii="宋体" w:hAnsi="宋体" w:eastAsia="宋体" w:cs="宋体"/>
                <w:i w:val="0"/>
                <w:iCs w:val="0"/>
                <w:caps w:val="0"/>
                <w:color w:val="auto"/>
                <w:spacing w:val="0"/>
                <w:sz w:val="21"/>
                <w:szCs w:val="21"/>
              </w:rPr>
              <w:t>（2）质疑时效期间：应在依法获取招标文件之日起7个工作日内向</w:t>
            </w:r>
            <w:r>
              <w:rPr>
                <w:rFonts w:hint="eastAsia" w:ascii="宋体" w:hAnsi="宋体" w:eastAsia="宋体" w:cs="宋体"/>
                <w:i w:val="0"/>
                <w:iCs w:val="0"/>
                <w:caps w:val="0"/>
                <w:color w:val="auto"/>
                <w:spacing w:val="0"/>
                <w:sz w:val="21"/>
                <w:szCs w:val="21"/>
                <w:lang w:val="en-US" w:eastAsia="zh-CN"/>
              </w:rPr>
              <w:t xml:space="preserve"> </w:t>
            </w:r>
            <w:r>
              <w:rPr>
                <w:rFonts w:hint="eastAsia" w:ascii="宋体" w:hAnsi="宋体" w:eastAsia="宋体" w:cs="宋体"/>
                <w:i w:val="0"/>
                <w:iCs w:val="0"/>
                <w:caps w:val="0"/>
                <w:color w:val="auto"/>
                <w:spacing w:val="0"/>
                <w:sz w:val="21"/>
                <w:szCs w:val="21"/>
                <w:lang w:eastAsia="zh-CN"/>
              </w:rPr>
              <w:t xml:space="preserve">福建省亿达工程咨询有限公司 </w:t>
            </w:r>
            <w:r>
              <w:rPr>
                <w:rFonts w:hint="eastAsia" w:ascii="宋体" w:hAnsi="宋体" w:eastAsia="宋体" w:cs="宋体"/>
                <w:i w:val="0"/>
                <w:iCs w:val="0"/>
                <w:caps w:val="0"/>
                <w:color w:val="auto"/>
                <w:spacing w:val="0"/>
                <w:sz w:val="21"/>
                <w:szCs w:val="21"/>
              </w:rPr>
              <w:t>提出</w:t>
            </w:r>
            <w:r>
              <w:rPr>
                <w:rFonts w:hint="eastAsia" w:ascii="宋体" w:hAnsi="宋体" w:eastAsia="宋体" w:cs="宋体"/>
                <w:i w:val="0"/>
                <w:iCs w:val="0"/>
                <w:caps w:val="0"/>
                <w:color w:val="auto"/>
                <w:spacing w:val="0"/>
                <w:sz w:val="21"/>
                <w:szCs w:val="21"/>
                <w:lang w:eastAsia="zh-CN"/>
              </w:rPr>
              <w:t>。</w:t>
            </w:r>
          </w:p>
          <w:p w14:paraId="62B0E79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※除上述规定外，对招标文件提出的质疑还应符合招标文件第三章第15.1条的有关规定。</w:t>
            </w:r>
          </w:p>
        </w:tc>
      </w:tr>
      <w:tr w14:paraId="1EF3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2D1A078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10</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B0D565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16.1</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16128D2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监督管理部门</w:t>
            </w:r>
            <w:r>
              <w:rPr>
                <w:rFonts w:hint="eastAsia" w:ascii="宋体" w:hAnsi="宋体" w:eastAsia="宋体" w:cs="宋体"/>
                <w:i w:val="0"/>
                <w:iCs w:val="0"/>
                <w:caps w:val="0"/>
                <w:color w:val="auto"/>
                <w:spacing w:val="0"/>
                <w:sz w:val="21"/>
                <w:szCs w:val="21"/>
                <w:lang w:eastAsia="zh-CN"/>
              </w:rPr>
              <w:t>：莆田城市园林发展集团有限公司</w:t>
            </w:r>
            <w:r>
              <w:rPr>
                <w:rFonts w:hint="eastAsia" w:ascii="宋体" w:hAnsi="宋体" w:eastAsia="宋体" w:cs="宋体"/>
                <w:i w:val="0"/>
                <w:iCs w:val="0"/>
                <w:caps w:val="0"/>
                <w:color w:val="auto"/>
                <w:spacing w:val="0"/>
                <w:sz w:val="21"/>
                <w:szCs w:val="21"/>
              </w:rPr>
              <w:t> （仅限依法进行政府采购的货物或服务类项目）。</w:t>
            </w:r>
          </w:p>
        </w:tc>
      </w:tr>
      <w:tr w14:paraId="5EB1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49A021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11</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5C6AAF9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18.1</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42F113E5">
            <w:pPr>
              <w:pStyle w:val="37"/>
              <w:spacing w:line="360" w:lineRule="auto"/>
              <w:jc w:val="left"/>
              <w:rPr>
                <w:color w:val="0000FF"/>
                <w:sz w:val="22"/>
                <w:szCs w:val="22"/>
              </w:rPr>
            </w:pPr>
            <w:r>
              <w:rPr>
                <w:color w:val="0000FF"/>
                <w:sz w:val="22"/>
                <w:szCs w:val="22"/>
              </w:rPr>
              <w:t>信息公告指定媒体（以下简称：“指定媒体”）：</w:t>
            </w:r>
          </w:p>
          <w:p w14:paraId="56208B0B">
            <w:pPr>
              <w:pStyle w:val="37"/>
              <w:numPr>
                <w:ilvl w:val="0"/>
                <w:numId w:val="1"/>
              </w:numPr>
              <w:spacing w:line="360" w:lineRule="auto"/>
              <w:ind w:left="110" w:leftChars="0" w:firstLine="0" w:firstLineChars="0"/>
              <w:jc w:val="left"/>
              <w:rPr>
                <w:rFonts w:hint="default" w:ascii="宋体" w:hAnsi="宋体" w:eastAsia="宋体" w:cs="宋体"/>
                <w:color w:val="auto"/>
                <w:lang w:val="en-US" w:eastAsia="zh-CN"/>
              </w:rPr>
            </w:pPr>
            <w:r>
              <w:rPr>
                <w:color w:val="0000FF"/>
                <w:sz w:val="22"/>
                <w:szCs w:val="22"/>
              </w:rPr>
              <w:t>莆田城市园林发展集团</w:t>
            </w:r>
            <w:r>
              <w:rPr>
                <w:rFonts w:hint="eastAsia"/>
                <w:color w:val="0000FF"/>
                <w:sz w:val="22"/>
                <w:szCs w:val="22"/>
                <w:lang w:val="en-US" w:eastAsia="zh-CN"/>
              </w:rPr>
              <w:t>有限公司</w:t>
            </w:r>
            <w:r>
              <w:rPr>
                <w:color w:val="0000FF"/>
                <w:sz w:val="22"/>
                <w:szCs w:val="22"/>
              </w:rPr>
              <w:t>招标采购网（</w:t>
            </w:r>
            <w:r>
              <w:rPr>
                <w:rFonts w:hint="eastAsia"/>
                <w:color w:val="0000FF"/>
                <w:sz w:val="22"/>
                <w:szCs w:val="22"/>
              </w:rPr>
              <w:t>http://www.ptcsyl.com/ztb.html）</w:t>
            </w:r>
          </w:p>
        </w:tc>
      </w:tr>
      <w:tr w14:paraId="07B5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51D6F4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12</w:t>
            </w:r>
          </w:p>
        </w:tc>
        <w:tc>
          <w:tcPr>
            <w:tcW w:w="147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3E6ACCE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19</w:t>
            </w:r>
          </w:p>
        </w:tc>
        <w:tc>
          <w:tcPr>
            <w:tcW w:w="770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14:paraId="6DFEB1F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其他事项：</w:t>
            </w:r>
          </w:p>
          <w:p w14:paraId="03A4BE3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(1)本项目代理服务费：</w:t>
            </w:r>
          </w:p>
          <w:p w14:paraId="5D893AE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代理服务费用收取对象：中标/成交供应商</w:t>
            </w:r>
          </w:p>
          <w:p w14:paraId="40FB275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i w:val="0"/>
                <w:iCs w:val="0"/>
                <w:caps w:val="0"/>
                <w:color w:val="auto"/>
                <w:spacing w:val="0"/>
                <w:sz w:val="21"/>
                <w:szCs w:val="21"/>
              </w:rPr>
              <w:t>代理服务费收费标准：</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rPr>
              <w:t>1）招标代理服务收费标准：成交人应在领取成交通知书的同时向采购代理机构缴纳代理服务费，</w:t>
            </w:r>
            <w:r>
              <w:rPr>
                <w:rFonts w:hint="eastAsia" w:ascii="宋体" w:hAnsi="宋体" w:eastAsia="宋体" w:cs="宋体"/>
                <w:i w:val="0"/>
                <w:iCs w:val="0"/>
                <w:caps w:val="0"/>
                <w:color w:val="auto"/>
                <w:spacing w:val="0"/>
                <w:sz w:val="21"/>
                <w:szCs w:val="21"/>
                <w:lang w:val="en-US" w:eastAsia="zh-CN"/>
              </w:rPr>
              <w:t>以中标价为计费基数，按照原国家计委(计价格[2002]1980号)文规定收费标准的80%计取</w:t>
            </w:r>
            <w:r>
              <w:rPr>
                <w:rFonts w:hint="eastAsia" w:ascii="宋体" w:hAnsi="宋体" w:eastAsia="宋体" w:cs="宋体"/>
                <w:i w:val="0"/>
                <w:iCs w:val="0"/>
                <w:caps w:val="0"/>
                <w:color w:val="auto"/>
                <w:spacing w:val="0"/>
                <w:sz w:val="21"/>
                <w:szCs w:val="21"/>
              </w:rPr>
              <w:t>。（2）服务费缴纳账户：开户名--</w:t>
            </w:r>
            <w:r>
              <w:rPr>
                <w:rFonts w:hint="eastAsia" w:ascii="宋体" w:hAnsi="宋体" w:eastAsia="宋体" w:cs="宋体"/>
                <w:i w:val="0"/>
                <w:iCs w:val="0"/>
                <w:caps w:val="0"/>
                <w:color w:val="auto"/>
                <w:spacing w:val="0"/>
                <w:sz w:val="21"/>
                <w:szCs w:val="21"/>
                <w:lang w:eastAsia="zh-CN"/>
              </w:rPr>
              <w:t>福建省亿达工程咨询有限公司莆田分公司</w:t>
            </w:r>
            <w:r>
              <w:rPr>
                <w:rFonts w:hint="eastAsia" w:ascii="宋体" w:hAnsi="宋体" w:eastAsia="宋体" w:cs="宋体"/>
                <w:i w:val="0"/>
                <w:iCs w:val="0"/>
                <w:caps w:val="0"/>
                <w:color w:val="auto"/>
                <w:spacing w:val="0"/>
                <w:sz w:val="21"/>
                <w:szCs w:val="21"/>
              </w:rPr>
              <w:t>，开户行—中国建设银行股份有限公司莆田荔城支行，账号—</w:t>
            </w:r>
            <w:r>
              <w:rPr>
                <w:rFonts w:hint="eastAsia" w:ascii="宋体" w:hAnsi="宋体" w:eastAsia="宋体" w:cs="宋体"/>
                <w:i w:val="0"/>
                <w:iCs w:val="0"/>
                <w:caps w:val="0"/>
                <w:color w:val="auto"/>
                <w:spacing w:val="0"/>
                <w:sz w:val="21"/>
                <w:szCs w:val="21"/>
                <w:lang w:val="en-US" w:eastAsia="zh-CN"/>
              </w:rPr>
              <w:t>35001636207052507324</w:t>
            </w:r>
            <w:r>
              <w:rPr>
                <w:rFonts w:hint="eastAsia" w:ascii="宋体" w:hAnsi="宋体" w:eastAsia="宋体" w:cs="宋体"/>
                <w:i w:val="0"/>
                <w:iCs w:val="0"/>
                <w:caps w:val="0"/>
                <w:color w:val="auto"/>
                <w:spacing w:val="0"/>
                <w:sz w:val="21"/>
                <w:szCs w:val="21"/>
              </w:rPr>
              <w:t>(</w:t>
            </w:r>
            <w:r>
              <w:rPr>
                <w:rFonts w:hint="eastAsia" w:ascii="宋体" w:hAnsi="宋体" w:eastAsia="宋体" w:cs="宋体"/>
                <w:i w:val="0"/>
                <w:iCs w:val="0"/>
                <w:caps w:val="0"/>
                <w:color w:val="auto"/>
                <w:spacing w:val="0"/>
                <w:sz w:val="21"/>
                <w:szCs w:val="21"/>
                <w:lang w:val="en-US" w:eastAsia="zh-CN"/>
              </w:rPr>
              <w:t>3</w:t>
            </w:r>
            <w:r>
              <w:rPr>
                <w:rFonts w:hint="eastAsia" w:ascii="宋体" w:hAnsi="宋体" w:eastAsia="宋体" w:cs="宋体"/>
                <w:i w:val="0"/>
                <w:iCs w:val="0"/>
                <w:caps w:val="0"/>
                <w:color w:val="auto"/>
                <w:spacing w:val="0"/>
                <w:sz w:val="21"/>
                <w:szCs w:val="21"/>
              </w:rPr>
              <w:t>)其他：无</w:t>
            </w:r>
          </w:p>
        </w:tc>
      </w:tr>
    </w:tbl>
    <w:p w14:paraId="407735C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 </w:t>
      </w:r>
    </w:p>
    <w:p w14:paraId="78B7126B">
      <w:pPr>
        <w:rPr>
          <w:rFonts w:hint="eastAsia" w:ascii="宋体" w:hAnsi="宋体" w:eastAsia="宋体" w:cs="宋体"/>
          <w:b/>
          <w:bCs/>
          <w:i w:val="0"/>
          <w:iCs w:val="0"/>
          <w:caps w:val="0"/>
          <w:color w:val="auto"/>
          <w:spacing w:val="0"/>
          <w:sz w:val="39"/>
          <w:szCs w:val="39"/>
          <w:shd w:val="clear" w:fill="FFFFFF"/>
        </w:rPr>
      </w:pPr>
      <w:r>
        <w:rPr>
          <w:rFonts w:hint="eastAsia" w:ascii="宋体" w:hAnsi="宋体" w:eastAsia="宋体" w:cs="宋体"/>
          <w:b/>
          <w:bCs/>
          <w:i w:val="0"/>
          <w:iCs w:val="0"/>
          <w:caps w:val="0"/>
          <w:color w:val="auto"/>
          <w:spacing w:val="0"/>
          <w:sz w:val="39"/>
          <w:szCs w:val="39"/>
          <w:shd w:val="clear" w:fill="FFFFFF"/>
        </w:rPr>
        <w:br w:type="page"/>
      </w:r>
    </w:p>
    <w:p w14:paraId="2C376D9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rPr>
      </w:pPr>
      <w:r>
        <w:rPr>
          <w:rFonts w:hint="eastAsia" w:ascii="宋体" w:hAnsi="宋体" w:eastAsia="宋体" w:cs="宋体"/>
          <w:b/>
          <w:bCs/>
          <w:i w:val="0"/>
          <w:iCs w:val="0"/>
          <w:caps w:val="0"/>
          <w:color w:val="auto"/>
          <w:spacing w:val="0"/>
          <w:sz w:val="39"/>
          <w:szCs w:val="39"/>
          <w:shd w:val="clear" w:fill="FFFFFF"/>
        </w:rPr>
        <w:t>第三章 投标人须知</w:t>
      </w:r>
    </w:p>
    <w:p w14:paraId="571E8A4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一、总则</w:t>
      </w:r>
    </w:p>
    <w:p w14:paraId="0C59534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1、适用范围</w:t>
      </w:r>
    </w:p>
    <w:p w14:paraId="6AF40E6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1.1适用于招标文件载明项目的政府采购活动（以下简称：“本次采购活动”）。</w:t>
      </w:r>
    </w:p>
    <w:p w14:paraId="15CB852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2、定义</w:t>
      </w:r>
    </w:p>
    <w:p w14:paraId="51F06FE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2.1“采购标的”指招标文件载明的需要采购的货物或服务。</w:t>
      </w:r>
    </w:p>
    <w:p w14:paraId="13EB7D0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2.2“潜在投标人”指按照招标文件第一章第7条规定获取招标文件且有意向参加本项目投标的供应商。</w:t>
      </w:r>
    </w:p>
    <w:p w14:paraId="317D8BC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2.3“投标人”指按照招标文件第一章第7条规定获取招标文件并参加本项目投标的供应商。</w:t>
      </w:r>
    </w:p>
    <w:p w14:paraId="7E0E1BF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2.4“单位负责人”指单位法定代表人或法律、法规规定代表单位行使职权的主要负责人。</w:t>
      </w:r>
    </w:p>
    <w:p w14:paraId="24C8F99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2.5“投标人代表”指投标人的单位负责人或“单位负责人授权书”中载明的接受授权方。</w:t>
      </w:r>
    </w:p>
    <w:p w14:paraId="030790A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二、投标人</w:t>
      </w:r>
    </w:p>
    <w:p w14:paraId="5D8B3F2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3、合格投标人</w:t>
      </w:r>
    </w:p>
    <w:p w14:paraId="38A3A99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3.1一般规定</w:t>
      </w:r>
    </w:p>
    <w:p w14:paraId="302475A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（1）投标人应遵守政府采购法及实施条例、政府采购招投标管理办法、政府采购质疑和投诉办法及财政部、福建省财政厅有关政府采购文件的规定，同时还应遵守有关法律、法规和规章的强制性规定。</w:t>
      </w:r>
    </w:p>
    <w:p w14:paraId="6F62691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（2）投标人的资格要求：详见招标文件第一章。</w:t>
      </w:r>
    </w:p>
    <w:p w14:paraId="3935758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3.2若本项目接受联合体投标且投标人为联合体，则联合体各方应遵守本章第3.1条规定，同时还应遵守下列规定：</w:t>
      </w:r>
    </w:p>
    <w:p w14:paraId="7AA56E3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（1）联合体各方应提交联合体协议，联合体协议应符合招标文件规定。</w:t>
      </w:r>
    </w:p>
    <w:p w14:paraId="3199390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（2）联合体各方不得再单独参加或与其他供应商另外组成联合体参加同一合同项下的投标。</w:t>
      </w:r>
    </w:p>
    <w:p w14:paraId="2D043BA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（3）联合体各方应共同与采购人签订政府采购合同，就政府采购合同约定的事项对采购人承担连带责任。</w:t>
      </w:r>
    </w:p>
    <w:p w14:paraId="52110DD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AF8133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（5）联合体一方放弃中标的，视为联合体整体放弃中标，联合体各方承担连带责任。</w:t>
      </w:r>
    </w:p>
    <w:p w14:paraId="703BB27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（6）如本项目不接受联合体投标而投标人为联合体的，或者本项目接受联合体投标但投标人组成的联合体不符合本章第3.2条规定的，投标无效。</w:t>
      </w:r>
    </w:p>
    <w:p w14:paraId="0F4A180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4、投标费用</w:t>
      </w:r>
    </w:p>
    <w:p w14:paraId="20B6F7D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4.1除招标文件另有规定外，投标人应自行承担其参加本项目投标所涉及的一切费用。</w:t>
      </w:r>
    </w:p>
    <w:p w14:paraId="4400724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三、招标</w:t>
      </w:r>
    </w:p>
    <w:p w14:paraId="19D1106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5、招标文件</w:t>
      </w:r>
    </w:p>
    <w:p w14:paraId="4DD54A7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5.1招标文件由下述部分组成：</w:t>
      </w:r>
    </w:p>
    <w:p w14:paraId="35F5985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（1）投标邀请</w:t>
      </w:r>
    </w:p>
    <w:p w14:paraId="3EE155F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（2）投标人须知前附表（表1、2）</w:t>
      </w:r>
    </w:p>
    <w:p w14:paraId="7083862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（3）投标人须知</w:t>
      </w:r>
    </w:p>
    <w:p w14:paraId="7F13C97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（4）资格审查与评标</w:t>
      </w:r>
    </w:p>
    <w:p w14:paraId="19CB256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（5）招标内容及要求</w:t>
      </w:r>
    </w:p>
    <w:p w14:paraId="06F8613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（6）政府采购合同（参考文本）</w:t>
      </w:r>
    </w:p>
    <w:p w14:paraId="529532F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（7）投标文件格式</w:t>
      </w:r>
    </w:p>
    <w:p w14:paraId="6B3CAE7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（8）按照招标文件规定作为招标文件组成部分的其他内容（若有）</w:t>
      </w:r>
    </w:p>
    <w:p w14:paraId="6D1CE39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5.2招标文件的澄清或修改</w:t>
      </w:r>
    </w:p>
    <w:p w14:paraId="30E6AB0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可对已发出的招标文件进行必要的澄清或修改，但不得对招标文件载明的采购标的和投标人的资格要求进行改变。</w:t>
      </w:r>
    </w:p>
    <w:p w14:paraId="133F1B2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（2）除本章第5.2条第（3）款规定情形外，澄清或修改的内容可能影响投标文件编制的，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将在投标截止时间至少15个日历日前，在招标文件载明的指定媒体以更正公告的形式发布澄清或修改的内容。不足15个日历日的，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将顺延投标截止时间及开标时间，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和投标人受原投标截止时间及开标时间制约的所有权利和义务均延长至新的投标截止时间及开标时间。</w:t>
      </w:r>
    </w:p>
    <w:p w14:paraId="3167FFE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（3）澄清或修改的内容可能改变招标文件载明的采购标的和投标人的资格要求的，本次采购活动结束，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将依法组织后续采购活动（包括但不限于：重新招标、采用其他方式采购等）。</w:t>
      </w:r>
    </w:p>
    <w:p w14:paraId="2A51426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6、现场考察或开标前答疑会</w:t>
      </w:r>
    </w:p>
    <w:p w14:paraId="4E7BEF5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6.1是否组织现场考察或召开开标前答疑会：详见招标文件第二章。</w:t>
      </w:r>
    </w:p>
    <w:p w14:paraId="5AAC09C9">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更正公告</w:t>
      </w:r>
    </w:p>
    <w:p w14:paraId="59056BC3">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7.1若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发布更正公告，则更正公告及其所发布的内容或信息（包括但不限于：招标文件的澄清或修改、现场考察或答疑会的有关事宜等）作为招标文件组成部分，对投标人具有约束力。</w:t>
      </w:r>
    </w:p>
    <w:p w14:paraId="2938AF6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7.2更正公告作为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通知所有潜在投标人的书面形式。</w:t>
      </w:r>
    </w:p>
    <w:p w14:paraId="330E0B9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8、终止公告</w:t>
      </w:r>
    </w:p>
    <w:p w14:paraId="21F0183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8.1若出现因重大变故导致采购任务取消情形，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可终止招标并发布终止公告。</w:t>
      </w:r>
    </w:p>
    <w:p w14:paraId="4043873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8.2终止公告作为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通知所有潜在投标人的书面形式。</w:t>
      </w:r>
    </w:p>
    <w:p w14:paraId="023201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四、投标</w:t>
      </w:r>
    </w:p>
    <w:p w14:paraId="62E6CC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9、投标</w:t>
      </w:r>
    </w:p>
    <w:p w14:paraId="41E2EEB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9.1投标人可对招标文件载明的全部或部分采购包进行投标。</w:t>
      </w:r>
    </w:p>
    <w:p w14:paraId="236CAEA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9.2投标人应对同一个采购包内的所有内容进行完整投标，否则投标无效。</w:t>
      </w:r>
    </w:p>
    <w:p w14:paraId="6E8BC4C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9.3投标人代表只能接受一个投标人的授权参加投标，否则投标无效。</w:t>
      </w:r>
    </w:p>
    <w:p w14:paraId="061D3BE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9.4单位负责人为同一人或存在直接控股、管理关系的不同供应商，不得同时参加同一合同项下的投标，否则投标无效。</w:t>
      </w:r>
    </w:p>
    <w:p w14:paraId="0F650ED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9.5为本项目提供整体设计、规范编制或项目管理、监理、检测等服务的供应商，不得参加本项目除整体设计、规范编制和项目管理、监理、检测等服务外的采购活动，否则投标无效。</w:t>
      </w:r>
    </w:p>
    <w:p w14:paraId="483C5DE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9.6列入失信被执行人、重大税收违法案件当事人名单、政府采购严重违法失信行为记录名单及其他不符合政府采购法第二十二条规定条件的供应商，不得参加投标，否则投标无效。</w:t>
      </w:r>
    </w:p>
    <w:p w14:paraId="1D132A6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9.7有下列情形之一的，视为投标人串通投标，其投标无效：</w:t>
      </w:r>
    </w:p>
    <w:p w14:paraId="0500443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（1）不同投标人的投标文件由同一单位或个人编制；</w:t>
      </w:r>
    </w:p>
    <w:p w14:paraId="5716F05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（2）不同投标人委托同一单位或个人办理投标事宜；</w:t>
      </w:r>
    </w:p>
    <w:p w14:paraId="4454A90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（3）不同投标人的投标文件载明的项目管理成员或联系人员为同一人；</w:t>
      </w:r>
    </w:p>
    <w:p w14:paraId="376DEC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（4）不同投标人的投标文件异常一致或投标报价呈规律性差异；</w:t>
      </w:r>
    </w:p>
    <w:p w14:paraId="5E40A59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（5）不同投标人的投标文件相互混装；</w:t>
      </w:r>
    </w:p>
    <w:p w14:paraId="4A577A1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（6）不同投标人的投标保证金从同一单位或个人的账户转出；</w:t>
      </w:r>
    </w:p>
    <w:p w14:paraId="15D255D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（7）有关法律、法规和规章及招标文件规定的其他串通投标情形。</w:t>
      </w:r>
    </w:p>
    <w:p w14:paraId="681E7A8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10、投标文件</w:t>
      </w:r>
    </w:p>
    <w:p w14:paraId="7269C63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10.1投标文件的编制</w:t>
      </w:r>
    </w:p>
    <w:p w14:paraId="756EE74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（1）投标人应先仔细阅读招标文件的全部内容后，再进行投标文件的编制。</w:t>
      </w:r>
    </w:p>
    <w:p w14:paraId="45C6669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（2）投标文件应按照本章第10.2条规定编制其组成部分。</w:t>
      </w:r>
    </w:p>
    <w:p w14:paraId="60B24B0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（3）投标文件应满足招标文件提出的实质性要求和条件，并保证其所提交的全部资料是不可割离且真实、有效、准确、完整和不具有任何误导性的，否则造成不利后果由投标人承担责任。</w:t>
      </w:r>
    </w:p>
    <w:p w14:paraId="0593AF4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10.2投标文件由下述部分组成：</w:t>
      </w:r>
    </w:p>
    <w:p w14:paraId="4EF5415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（1）资格及资信证明部分</w:t>
      </w:r>
    </w:p>
    <w:p w14:paraId="65A0F3F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①投标函</w:t>
      </w:r>
    </w:p>
    <w:p w14:paraId="6ED5C1F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②投标人的资格及资信证明文件</w:t>
      </w:r>
    </w:p>
    <w:p w14:paraId="7B74449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③投标保证金</w:t>
      </w:r>
    </w:p>
    <w:p w14:paraId="3B9C77B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（2）报价部分</w:t>
      </w:r>
    </w:p>
    <w:p w14:paraId="1BFCD75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①开标一览表</w:t>
      </w:r>
    </w:p>
    <w:p w14:paraId="46D317F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②投标分项报价表</w:t>
      </w:r>
    </w:p>
    <w:p w14:paraId="051F544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③招标文件规定的价格扣除证明材料（若有）</w:t>
      </w:r>
    </w:p>
    <w:p w14:paraId="4E7CD9A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④招标文件规定的加分证明材料（若有）</w:t>
      </w:r>
    </w:p>
    <w:p w14:paraId="0553430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（3）技术商务部分</w:t>
      </w:r>
    </w:p>
    <w:p w14:paraId="223E5A4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①标的说明一览表</w:t>
      </w:r>
    </w:p>
    <w:p w14:paraId="3D05278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②技术和服务要求响应表</w:t>
      </w:r>
    </w:p>
    <w:p w14:paraId="09ABBE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③商务条件响应表</w:t>
      </w:r>
    </w:p>
    <w:p w14:paraId="43CAA06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④投标人提交的其他资料（若有）</w:t>
      </w:r>
    </w:p>
    <w:p w14:paraId="1DD99F8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⑤招标文件规定作为投标文件组成部分的其他内容（若有）</w:t>
      </w:r>
    </w:p>
    <w:p w14:paraId="63CEA6F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10.3投标文件的语言</w:t>
      </w:r>
    </w:p>
    <w:p w14:paraId="2668839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（1）除招标文件另有规定外，投标文件应使用中文文本，若有不同文本，以中文文本为准。</w:t>
      </w:r>
    </w:p>
    <w:p w14:paraId="0A0A727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C0F2F4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10.4投标文件的份数：详见招标文件第二章。</w:t>
      </w:r>
    </w:p>
    <w:p w14:paraId="5A47998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10.5投标文件的格式</w:t>
      </w:r>
    </w:p>
    <w:p w14:paraId="2148EA1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（1）除招标文件另有规定外，投标文件应使用招标文件第七章规定的格式。</w:t>
      </w:r>
    </w:p>
    <w:p w14:paraId="254A576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（2）除招标文件另有规定外，投标文件的正本和全部副本均应使用不能擦去的墨料或墨水打印、书写或复印，其中：</w:t>
      </w:r>
    </w:p>
    <w:p w14:paraId="146993E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①正本应用A4幅面纸张打印装订，编制封面（封面标明“正本”字样）、索引、页码，并用胶装装订成册。</w:t>
      </w:r>
    </w:p>
    <w:p w14:paraId="04D6BC8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②副本应用A4幅面纸张打印装订，编制封面（封面标明“副本”字样）、索引、页码，并用胶装装订成册；副本可用正本的完整复印件，并与正本保持一致（若不一致，以正本为准）。</w:t>
      </w:r>
    </w:p>
    <w:p w14:paraId="392FF79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③允许散装或活页装订的内容或材料：详见招标文件第二章。</w:t>
      </w:r>
    </w:p>
    <w:p w14:paraId="70DD714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（3）除招标文件另有规定外，投标文件应使用人民币作为计量货币。</w:t>
      </w:r>
    </w:p>
    <w:p w14:paraId="2AF466B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（4）除招标文件另有规定外，签署、盖章应遵守下列规定：</w:t>
      </w:r>
    </w:p>
    <w:p w14:paraId="7FCF60F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①投标文件应加盖投标人的单位公章。若投标人代表为单位授权的委托代理人，应提供“单位授权书”。</w:t>
      </w:r>
    </w:p>
    <w:p w14:paraId="484141E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②投标文件应没有涂改或行间插字，除非这些改动是根据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的指示进行的，或是为改正投标人造成的应修改的错误而进行的。若有前述改动，应按照下列规定之一对改动处进行处理：</w:t>
      </w:r>
    </w:p>
    <w:p w14:paraId="699E124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6891"/>
        </w:tabs>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shd w:val="clear" w:fill="FFFFFF"/>
        </w:rPr>
        <w:t>a.投标人代表签字确认；</w:t>
      </w:r>
      <w:r>
        <w:rPr>
          <w:rFonts w:hint="eastAsia" w:ascii="宋体" w:hAnsi="宋体" w:eastAsia="宋体" w:cs="宋体"/>
          <w:i w:val="0"/>
          <w:iCs w:val="0"/>
          <w:caps w:val="0"/>
          <w:color w:val="auto"/>
          <w:spacing w:val="0"/>
          <w:sz w:val="21"/>
          <w:szCs w:val="21"/>
          <w:shd w:val="clear" w:fill="FFFFFF"/>
          <w:lang w:eastAsia="zh-CN"/>
        </w:rPr>
        <w:tab/>
      </w:r>
    </w:p>
    <w:p w14:paraId="184614F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b.加盖投标人的单位公章或校正章。</w:t>
      </w:r>
    </w:p>
    <w:p w14:paraId="1DE599E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10.6投标报价</w:t>
      </w:r>
    </w:p>
    <w:p w14:paraId="6B08FC5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（1）投标报价超出最高限价将导致投标无效。</w:t>
      </w:r>
    </w:p>
    <w:p w14:paraId="0189720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（2）最高限价由采购人根据价格测算情况，在预算金额的额度内合理设定。最高限价不得超出预算金额。</w:t>
      </w:r>
    </w:p>
    <w:p w14:paraId="3B9AB8D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（3）除招标文件另有规定外，投标文件不能出现任何选择性的投标报价，即每一个采购包和品目号的采购标的都只能有一个投标报价。任何选择性的投标报价将导致投标无效。</w:t>
      </w:r>
    </w:p>
    <w:p w14:paraId="36030C5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10.7分包</w:t>
      </w:r>
    </w:p>
    <w:p w14:paraId="145846C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（1）是否允许中标人将本项目的非主体、非关键性工作进行分包：详见招标文件第二章。</w:t>
      </w:r>
    </w:p>
    <w:p w14:paraId="2ACF792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408813D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（3）招标文件允许中标人将非主体、非关键性工作进行分包的项目，有下列情形之一的，中标人不得分包：</w:t>
      </w:r>
    </w:p>
    <w:p w14:paraId="497359F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①投标文件中未载明分包承担主体；</w:t>
      </w:r>
    </w:p>
    <w:p w14:paraId="1BD6CD6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②投标文件载明的分包承担主体不具备相应资质条件；</w:t>
      </w:r>
    </w:p>
    <w:p w14:paraId="6CE8E12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③投标文件载明的分包承担主体拟再次分包；</w:t>
      </w:r>
    </w:p>
    <w:p w14:paraId="298127F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④享受中小企业扶持政策获得政府采购合同的，小微企业不得将合同分包给大中型企业，中型企业不得将合同分包给大型企业。</w:t>
      </w:r>
    </w:p>
    <w:p w14:paraId="7F7BA2B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10.8投标有效期</w:t>
      </w:r>
    </w:p>
    <w:p w14:paraId="5E7EAED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（1）招标文件载明的投标有效期：详见招标文件第二章。</w:t>
      </w:r>
    </w:p>
    <w:p w14:paraId="34B6B76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（2）投标文件承诺的投标有效期不得少于招标文件载明的投标有效期，否则投标无效。</w:t>
      </w:r>
    </w:p>
    <w:p w14:paraId="2C13F78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（3）根据本次采购活动的需要，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可于投标有效期届满之前书面要求投标人延长投标有效期，投标人应在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520E36D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10.9投标保证金</w:t>
      </w:r>
    </w:p>
    <w:p w14:paraId="10575FC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（1）投标保证金作为投标人按照招标文件规定履行相应投标责任、义务的约束及担保。</w:t>
      </w:r>
    </w:p>
    <w:p w14:paraId="0BA0733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（3）提交</w:t>
      </w:r>
    </w:p>
    <w:p w14:paraId="6EECF6C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①投标人以汇款形式缴纳投标保证金的，应从其银行账户（基本存款账户）按照下列方式：公对公转账方式向招标文件载明的投标保证金账户提交投标保证金，具体金额详见招标文件第一章。</w:t>
      </w:r>
    </w:p>
    <w:p w14:paraId="2DF7F35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②若本项目接受联合体投标且投标人为联合体，则联合体中的牵头方应按照本章第10.9条第（3）款第①、②点规定提交投标保证金。</w:t>
      </w:r>
    </w:p>
    <w:p w14:paraId="28331E1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※除招标文件另有规定外，未按照上述规定提交投标保证金将导致资格审查不合格。</w:t>
      </w:r>
    </w:p>
    <w:p w14:paraId="52588C1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（4）退还</w:t>
      </w:r>
    </w:p>
    <w:p w14:paraId="5D7475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①在投标截止时间前撤回已提交的投标文件的投标人，其投标保证金将在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收到投标人书面撤回通知之日起5个工作日内退回原账户。</w:t>
      </w:r>
    </w:p>
    <w:p w14:paraId="2F77089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②未中标人的投标保证金将在中标通知书发出之日起5个工作日内退回原账户。</w:t>
      </w:r>
    </w:p>
    <w:p w14:paraId="1417D04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③中标人的投标保证金将在政府采购合同签订之日起5个工作日内退回原账户。</w:t>
      </w:r>
    </w:p>
    <w:p w14:paraId="0873EBD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④终止招标的，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将在终止公告发布之日起5个工作日内退回已收取的投标保证金及其在银行产生的孳息。</w:t>
      </w:r>
    </w:p>
    <w:p w14:paraId="4B54FEF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⑤除招标文件另有规定外，质疑或投诉涉及的投标人，若投标保证金尚未退还，则待质疑或投诉处理完毕后不计利息原额退还。</w:t>
      </w:r>
    </w:p>
    <w:p w14:paraId="7824704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※本章第10.9条第（4）款第①、②、③点规定的投标保证金退还时限不包括因投标人自身原因导致无法及时退还而增加的时间。</w:t>
      </w:r>
    </w:p>
    <w:p w14:paraId="6B5DB01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5459DD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（6）有下列情形之一的，投标保证金将不予退还或通过投标保函进行索赔：</w:t>
      </w:r>
    </w:p>
    <w:p w14:paraId="3E5ADF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①投标人串通投标；</w:t>
      </w:r>
    </w:p>
    <w:p w14:paraId="1A08D4D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②投标人提供虚假材料；</w:t>
      </w:r>
    </w:p>
    <w:p w14:paraId="2C5FFBC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③投标人采取不正当手段诋毁、排挤其他投标人；</w:t>
      </w:r>
    </w:p>
    <w:p w14:paraId="4AD413C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④投标截止时间后，投标人在投标有效期内撤销投标文件；</w:t>
      </w:r>
    </w:p>
    <w:p w14:paraId="02C9D71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⑤招标文件规定的其他不予退还情形；</w:t>
      </w:r>
    </w:p>
    <w:p w14:paraId="7429DF2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⑥中标人有下列情形之一的：</w:t>
      </w:r>
    </w:p>
    <w:p w14:paraId="5167477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a.除不可抗力外，因中标人自身原因未在中标通知书要求的期限内与采购人签订政府采购合同；</w:t>
      </w:r>
    </w:p>
    <w:p w14:paraId="696EECA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b.未按照招标文件、投标文件的约定签订政府采购合同或提交履约保证金。</w:t>
      </w:r>
    </w:p>
    <w:p w14:paraId="0D2C99A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※若上述投标保证金不予退还情形给采购人（采购代理机构）造成损失，则投标人还要承担相应的赔偿责任。</w:t>
      </w:r>
    </w:p>
    <w:p w14:paraId="35197CE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10.10投标文件的提交</w:t>
      </w:r>
    </w:p>
    <w:p w14:paraId="7B7937C5">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20" w:leftChars="0" w:right="0" w:righ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（1）一个投标人只能提交一个投标文件，并按照招标文件第一章规定将其送达。</w:t>
      </w:r>
    </w:p>
    <w:p w14:paraId="3308B5A4">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20" w:leftChars="0" w:right="0" w:rightChars="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（2）密封及其标记的具体形式：详见招标文件第二章。</w:t>
      </w:r>
    </w:p>
    <w:p w14:paraId="3D03F62E">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20" w:leftChars="0" w:right="0" w:rightChars="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10.11投标文件的补充、修改或撤回</w:t>
      </w:r>
    </w:p>
    <w:p w14:paraId="4F55E1D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（1）投标截止时间前，投标人可对所提交的投标文件进行补充、修改或撤回，并书面通知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w:t>
      </w:r>
    </w:p>
    <w:p w14:paraId="0D42E96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（2）补充、修改的内容应按照本章第10.5条第（4）款规定进行签署、盖章，并按照本章第10.10条规定提交，否则将被拒收。</w:t>
      </w:r>
    </w:p>
    <w:p w14:paraId="39AECC1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※按照上述规定提交的补充、修改内容作为投标文件组成部分。</w:t>
      </w:r>
    </w:p>
    <w:p w14:paraId="44FB19D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10.12除招标文件另有规定外，有下列情形之一的，投标无效：</w:t>
      </w:r>
    </w:p>
    <w:p w14:paraId="29B68A6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（1）投标文件未按照招标文件要求签署、盖章；</w:t>
      </w:r>
    </w:p>
    <w:p w14:paraId="55C745F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（2）不符合招标文件中规定的资格要求；</w:t>
      </w:r>
    </w:p>
    <w:p w14:paraId="4537FC1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（3）投标报价超过招标文件中规定的预算金额或最高限价；</w:t>
      </w:r>
    </w:p>
    <w:p w14:paraId="302A53A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（4）投标文件含有采购人不能接受的附加条件；</w:t>
      </w:r>
    </w:p>
    <w:p w14:paraId="404893A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（5）有关法律、法规和规章及招标文件规定的其他无效情形。</w:t>
      </w:r>
    </w:p>
    <w:p w14:paraId="74ECD77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五、开标</w:t>
      </w:r>
    </w:p>
    <w:p w14:paraId="642FAD4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11、开标</w:t>
      </w:r>
    </w:p>
    <w:p w14:paraId="5DFEED6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11.1 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将在招标文件载明的开标时间及地点主持召开开标会，并邀请投标人参加。</w:t>
      </w:r>
    </w:p>
    <w:p w14:paraId="1CD136C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11.2开标会的主持人、唱标人、记录人及其他工作人员（若有）均由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派出，现场监督人员（若有）可由有关方面派出。</w:t>
      </w:r>
    </w:p>
    <w:p w14:paraId="5527196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11.3参加开标会的投标人应签到，非投标人不参加开标会。</w:t>
      </w:r>
    </w:p>
    <w:p w14:paraId="27C1D74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11.4开标会应遵守下列规定：</w:t>
      </w:r>
    </w:p>
    <w:p w14:paraId="0B3350B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（1）首先由主持人宣布开标会须知，然后由投标人代表对投标文件的密封情况进行检查，经确认无误后，由工作人员对密封的投标文件当众拆封。</w:t>
      </w:r>
    </w:p>
    <w:p w14:paraId="54E36ED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027B11E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（3）唱标结束后，参加现场开标会的投标人代表应对开标记录进行签字确认。</w:t>
      </w:r>
    </w:p>
    <w:p w14:paraId="6DC208E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39BA9D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若出现本章第11.4条第（3）、（4）款规定情形之一，则投标人不得在开标会后就开标过程和开标记录涉及或可能涉及的有关事由（包括但不限于：“投标报价”、“投标文件的格式”、“投标文件的提交”、“投标文件的补充、修改或撤回”等）向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提出任何疑义或要求（包括质疑）。</w:t>
      </w:r>
    </w:p>
    <w:p w14:paraId="659B0B1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11.5投标截止时间后，参加投标的投标人不足三家的，不进行开标。同时，本次采购活动结束，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将依法组织后续采购活动（包括但不限于：重新招标、采用其他方式采购等）。</w:t>
      </w:r>
    </w:p>
    <w:p w14:paraId="1C96B1F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11.6投标截止时间后撤销投标的处理</w:t>
      </w:r>
    </w:p>
    <w:p w14:paraId="23E0868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投标截止时间后，投标人在投标有效期内撤销投标的，其撤销投标的行为无效。</w:t>
      </w:r>
    </w:p>
    <w:p w14:paraId="7000075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六、中标与政府采购合同</w:t>
      </w:r>
    </w:p>
    <w:p w14:paraId="6F9F8C0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12、中标</w:t>
      </w:r>
    </w:p>
    <w:p w14:paraId="2418DFF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12.1本项目推荐的中标候选人家数：详见招标文件第二章。</w:t>
      </w:r>
    </w:p>
    <w:p w14:paraId="1B75A90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12.2本项目中标人的确定：详见招标文件第二章。</w:t>
      </w:r>
    </w:p>
    <w:p w14:paraId="71C932E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12.3中标公告</w:t>
      </w:r>
    </w:p>
    <w:p w14:paraId="4DF4996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（1）中标人确定之日起2个工作日内，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将在招标文件载明的指定媒体以中标公告的形式发布中标结果。</w:t>
      </w:r>
    </w:p>
    <w:p w14:paraId="7E99895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（2）中标公告的公告期限为1个工作日。</w:t>
      </w:r>
    </w:p>
    <w:p w14:paraId="4076866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12.4中标通知书</w:t>
      </w:r>
    </w:p>
    <w:p w14:paraId="390A084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（1）中标公告发布的同时，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将向中标人发出中标通知书。</w:t>
      </w:r>
    </w:p>
    <w:p w14:paraId="7FD485B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（2）中标通知书发出后，采购人不得违法改变中标结果，中标人无正当理由不得放弃中标。</w:t>
      </w:r>
    </w:p>
    <w:p w14:paraId="6A9F83E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13、政府采购合同</w:t>
      </w:r>
    </w:p>
    <w:p w14:paraId="2E29851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13.1签订政府采购合同应遵守政府采购法及实施条例的规定，不得对招标文件确定的事项和中标人的投标文件作实质性修改。采购人不得向中标人提出任何不合理的要求作为政府采购合同的签订条件。</w:t>
      </w:r>
    </w:p>
    <w:p w14:paraId="0DE292E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13.2签订时限：详见须知前附表1的13.2。</w:t>
      </w:r>
    </w:p>
    <w:p w14:paraId="025F090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13.3政府采购合同的履行、违约责任和解决争议的方法等适用民法典。</w:t>
      </w:r>
    </w:p>
    <w:p w14:paraId="72E63B1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13.4采购人与中标人应根据政府采购合同的约定依法履行合同义务。</w:t>
      </w:r>
    </w:p>
    <w:p w14:paraId="1D1E64D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13.5政府采购合同履行过程中，采购人若需追加与合同标的相同的货物或服务，则追加采购金额不得超过原合同采购金额的10%。</w:t>
      </w:r>
    </w:p>
    <w:p w14:paraId="3F3C665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13.6中标人在政府采购合同履行过程中应遵守有关法律、法规和规章的强制性规定（即使前述强制性规定有可能在招标文件中未予列明）。</w:t>
      </w:r>
    </w:p>
    <w:p w14:paraId="5482367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七、询问、质疑与投诉</w:t>
      </w:r>
    </w:p>
    <w:p w14:paraId="277A518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14、询问</w:t>
      </w:r>
    </w:p>
    <w:p w14:paraId="6669153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14.1潜在投标人或投标人对本次采购活动的有关事项若有疑问，可向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提出询问，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将按照政府采购法及实施条例的有关规定进行答复。</w:t>
      </w:r>
    </w:p>
    <w:p w14:paraId="3E6145B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15、质疑</w:t>
      </w:r>
    </w:p>
    <w:p w14:paraId="64EC5E9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15.1针对同一采购程序环节的质疑应在政府采购法及实施条例的时限内一次性提出，对一个项目的不同采购包提出质疑的，应当将各采购包质疑事项集中在一份质疑函中提出，并同时符合下列条件：</w:t>
      </w:r>
    </w:p>
    <w:p w14:paraId="7C31510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（1）对招标文件提出质疑的，质疑人应为潜在投标人，且两者的身份、名称等均应保持一致。对采购过程、结果提出质疑的，质疑人应为投标人，且两者的身份、名称等均应保持一致。</w:t>
      </w:r>
    </w:p>
    <w:p w14:paraId="4C5C44A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（2）质疑人应按照招标文件第二章规定方式提交质疑函。</w:t>
      </w:r>
    </w:p>
    <w:p w14:paraId="13E97FF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（3）质疑函应包括下列主要内容：</w:t>
      </w:r>
    </w:p>
    <w:p w14:paraId="105297A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①质疑人的基本信息，至少包括：全称、地址、邮政编码等；</w:t>
      </w:r>
    </w:p>
    <w:p w14:paraId="4EEFB8B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②所质疑项目的基本信息，至少包括：项目编号、项目名称等；</w:t>
      </w:r>
    </w:p>
    <w:p w14:paraId="64054FD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③所质疑的具体事项（以下简称：“质疑事项”）；</w:t>
      </w:r>
    </w:p>
    <w:p w14:paraId="0219795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④针对质疑事项提出的明确请求，前述明确请求指质疑人提出质疑的目的以及希望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对其质疑作出的处理结果，如：暂停招标投标活动、修改招标文件、停止或纠正违法违规行为、中标结果无效、废标、重新招标等；</w:t>
      </w:r>
    </w:p>
    <w:p w14:paraId="29FDEF2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⑤针对质疑事项导致质疑人自身权益受到损害的必要证明材料，至少包括：</w:t>
      </w:r>
    </w:p>
    <w:p w14:paraId="15CB528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a.质疑人代表的身份证明材料：</w:t>
      </w:r>
    </w:p>
    <w:p w14:paraId="66AA990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D3F707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a2若本项目接受自然人投标且质疑人为自然人的，提供本人的身份证复印件。</w:t>
      </w:r>
    </w:p>
    <w:p w14:paraId="7816981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b.其他证明材料（即事实依据和必要的法律依据）包括但不限于下列材料：</w:t>
      </w:r>
    </w:p>
    <w:p w14:paraId="13757DD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b1所质疑的具体事项是与自己有利害关系的证明材料；</w:t>
      </w:r>
    </w:p>
    <w:p w14:paraId="6989585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b2质疑函所述事实存在的证明材料，如：采购文件、采购过程或中标结果违法违规或不符合采购文件要求等证明材料；</w:t>
      </w:r>
    </w:p>
    <w:p w14:paraId="18CB6E9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b3依法应终止采购程序的证明材料；</w:t>
      </w:r>
    </w:p>
    <w:p w14:paraId="526E895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b4应重新采购的证明材料；</w:t>
      </w:r>
    </w:p>
    <w:p w14:paraId="16AE327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b5采购文件、采购过程或中标、成交结果损害自己合法权益的证明材料等；</w:t>
      </w:r>
    </w:p>
    <w:p w14:paraId="4A7BFC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808BE7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⑥质疑人代表及其联系方法的信息，至少包括：姓名、手机、电子信箱、邮寄地址等。</w:t>
      </w:r>
    </w:p>
    <w:p w14:paraId="66B7ABA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⑦提出质疑的日期。</w:t>
      </w:r>
    </w:p>
    <w:p w14:paraId="24030E8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※质疑人为法人或其他组织的，质疑函应由单位负责人或委托代理人签字或盖章，并加盖投标人的单位公章。质疑人为自然人的，质疑函应由本人签字。</w:t>
      </w:r>
    </w:p>
    <w:p w14:paraId="48E484F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15.2对不符合本章第15.1条规定的质疑，将按照下列规定进行处理：</w:t>
      </w:r>
    </w:p>
    <w:p w14:paraId="2B081AE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（1）不符合其中第（1）、（2）条规定的，书面告知质疑人不予受理及其理由。</w:t>
      </w:r>
    </w:p>
    <w:p w14:paraId="6B37B35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（2）不符合其中第（3）条规定的，书面告知质疑人修改、补充后在规定时限内重新提交质疑函。</w:t>
      </w:r>
    </w:p>
    <w:p w14:paraId="361B869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15.3对符合本章第15.1条规定的质疑，将按照政府采购法及实施条例、政府采购质疑和投诉办法的有关规定进行答复。</w:t>
      </w:r>
    </w:p>
    <w:p w14:paraId="52D5A55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15.4招标文件的质疑：详见招标文件第二章。</w:t>
      </w:r>
    </w:p>
    <w:p w14:paraId="72290A2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16、投诉</w:t>
      </w:r>
    </w:p>
    <w:p w14:paraId="516B08B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0D17223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16.2投诉应有明确的请求和必要的证明材料，投诉的事项不得超出已质疑事项的范围。</w:t>
      </w:r>
    </w:p>
    <w:p w14:paraId="43294C4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八、政府采购政策</w:t>
      </w:r>
    </w:p>
    <w:p w14:paraId="49C97A1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17、政府采购政策由财政部根据国家的经济和社会发展政策并会同国家有关部委制定，包括但不限于下列具体政策要求：</w:t>
      </w:r>
    </w:p>
    <w:p w14:paraId="7B0D356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17.1进口产品指通过中国海关报关验放进入中国境内且产自关境外的产品，其中：</w:t>
      </w:r>
    </w:p>
    <w:p w14:paraId="631D49A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00A63C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（2）凡在海关特殊监管区域内企业生产或加工（包括从境外进口料件）销往境内其他地区的产品，不作为政府采购项下进口产品。</w:t>
      </w:r>
    </w:p>
    <w:p w14:paraId="524FDB9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（3）对从境外进入海关特殊监管区域，再经办理报关手续后从海关特殊监管区进入境内其他地区的产品，认定为进口产品。</w:t>
      </w:r>
    </w:p>
    <w:p w14:paraId="68F11E4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（4）招标文件列明不允许或未列明允许进口产品参加投标的，均视为拒绝进口产品参加投标。</w:t>
      </w:r>
    </w:p>
    <w:p w14:paraId="4D83981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68C82A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5FE1F1B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D4D473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（1）中小企业指符合下列条件的中型、小型、微型企业：</w:t>
      </w:r>
    </w:p>
    <w:p w14:paraId="43FB118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F07765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②符合中小企业划分标准的个体工商户，在政府采购活动中视同中小企业。</w:t>
      </w:r>
    </w:p>
    <w:p w14:paraId="1B58B65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（2）在政府采购活动中，供应商提供的货物、工程或者服务符合下列情形的，享受本办法规定的中小企业扶持政策：</w:t>
      </w:r>
    </w:p>
    <w:p w14:paraId="746C440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①在货物采购项目中，货物由中小企业制造，即货物由中小企业生产且使用该中小企业商号或者注册商标；</w:t>
      </w:r>
    </w:p>
    <w:p w14:paraId="5D7ED13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②在工程采购项目中，工程由中小企业承建，即工程施工单位为中小企业；</w:t>
      </w:r>
    </w:p>
    <w:p w14:paraId="386B452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③在服务采购项目中，服务由中小企业承接，即提供服务的人员为中小企业依照《中华人民共和国劳动合同法》订立劳动合同的从业人员。</w:t>
      </w:r>
    </w:p>
    <w:p w14:paraId="636B267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在货物采购项目中，供应商提供的货物既有中小企业制造货物，也有大型企业制造货物的，不享受本办法规定的中小企业扶持政策。</w:t>
      </w:r>
    </w:p>
    <w:p w14:paraId="0F37FB8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以联合体形式参加政府采购活动，联合体各方均为中小企业的，联合体视同中小企业。其中，联合体各方均为小微企业的，联合体视同小微企业。</w:t>
      </w:r>
    </w:p>
    <w:p w14:paraId="39194D9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（3）投标人应当按照招标文件明确的采购标的对应行业的划分标准出具中小企业声明函。</w:t>
      </w:r>
    </w:p>
    <w:p w14:paraId="0C6D613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25B214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2634B7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①监狱企业参加采购活动时，应提供由省级以上监狱管理局、戒毒管理局（含新疆生产建设兵团）出具的属于监狱企业的证明文件。</w:t>
      </w:r>
    </w:p>
    <w:p w14:paraId="301EB1D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②监狱企业视同小型、微型企业。</w:t>
      </w:r>
    </w:p>
    <w:p w14:paraId="68A83DA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（5）残疾人福利性单位指同时符合下列条件的单位：</w:t>
      </w:r>
    </w:p>
    <w:p w14:paraId="29C3247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①安置的残疾人占本单位在职职工人数的比例不低于25%（含25%），并且安置的残疾人人数不少于10人（含10人）；</w:t>
      </w:r>
    </w:p>
    <w:p w14:paraId="34DA3E0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②依法与安置的每位残疾人签订了一年以上（含一年）的劳动合同或服务协议；</w:t>
      </w:r>
    </w:p>
    <w:p w14:paraId="5D40A80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③为安置的每位残疾人按月足额缴纳了基本养老保险、基本医疗保险、失业保险、工伤保险和生育保险等社会保险费；</w:t>
      </w:r>
    </w:p>
    <w:p w14:paraId="57B04C4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④通过银行等金融机构向安置的每位残疾人，按月支付了不低于单位所在区县适用的经省级人民政府批准的月最低工资标准的工资；</w:t>
      </w:r>
    </w:p>
    <w:p w14:paraId="680CDEE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⑤提供本单位制造的货物、承担的工程或服务，或提供其他残疾人福利性单位制造的货物（不包括使用非残疾人福利性单位注册商标的货物）。</w:t>
      </w:r>
    </w:p>
    <w:p w14:paraId="5472472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8ACE88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3B4674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17.5信用记录指由财政部确定的有关网站提供的相关主体信用信息。信用记录的查询及使用应符合财政部文件（财库[2016]125号）规定。</w:t>
      </w:r>
    </w:p>
    <w:p w14:paraId="2E0F0D6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17.6为落实政府采购政策需满足的要求：详见招标文件第一章。</w:t>
      </w:r>
    </w:p>
    <w:p w14:paraId="12425E5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九、本项目的有关信息</w:t>
      </w:r>
    </w:p>
    <w:p w14:paraId="4E0D271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18、本项目的有关信息，包括但不限于：招标公告、更正公告（若有）、招标文件、招标文件的澄清或修改（若有）、中标公告、终止公告（若有）、废标公告（若有）等都将在招标文件载明的指定媒体发布。</w:t>
      </w:r>
    </w:p>
    <w:p w14:paraId="6552E48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18.1指定媒体：详见招标文件第二章。</w:t>
      </w:r>
    </w:p>
    <w:p w14:paraId="25E5D10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18.2本项目的潜在投标人或投标人应随时关注指定媒体，否则产生不利后果由其自行承担。</w:t>
      </w:r>
    </w:p>
    <w:p w14:paraId="6FEB84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十、其他事项</w:t>
      </w:r>
    </w:p>
    <w:p w14:paraId="269A53D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19、其他事项：</w:t>
      </w:r>
    </w:p>
    <w:p w14:paraId="44C4E9D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13ADBD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19.2其他：详见招标文件第二章。 </w:t>
      </w:r>
    </w:p>
    <w:p w14:paraId="0531949A">
      <w:pPr>
        <w:rPr>
          <w:rFonts w:hint="eastAsia" w:ascii="宋体" w:hAnsi="宋体" w:eastAsia="宋体" w:cs="宋体"/>
          <w:b/>
          <w:bCs/>
          <w:i w:val="0"/>
          <w:iCs w:val="0"/>
          <w:caps w:val="0"/>
          <w:color w:val="auto"/>
          <w:spacing w:val="0"/>
          <w:sz w:val="39"/>
          <w:szCs w:val="39"/>
          <w:shd w:val="clear" w:fill="FFFFFF"/>
        </w:rPr>
      </w:pPr>
      <w:r>
        <w:rPr>
          <w:rFonts w:hint="eastAsia" w:ascii="宋体" w:hAnsi="宋体" w:eastAsia="宋体" w:cs="宋体"/>
          <w:b/>
          <w:bCs/>
          <w:i w:val="0"/>
          <w:iCs w:val="0"/>
          <w:caps w:val="0"/>
          <w:color w:val="auto"/>
          <w:spacing w:val="0"/>
          <w:sz w:val="39"/>
          <w:szCs w:val="39"/>
          <w:shd w:val="clear" w:fill="FFFFFF"/>
        </w:rPr>
        <w:br w:type="page"/>
      </w:r>
    </w:p>
    <w:p w14:paraId="317665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rPr>
      </w:pPr>
      <w:r>
        <w:rPr>
          <w:rFonts w:hint="eastAsia" w:ascii="宋体" w:hAnsi="宋体" w:eastAsia="宋体" w:cs="宋体"/>
          <w:b/>
          <w:bCs/>
          <w:i w:val="0"/>
          <w:iCs w:val="0"/>
          <w:caps w:val="0"/>
          <w:color w:val="auto"/>
          <w:spacing w:val="0"/>
          <w:sz w:val="39"/>
          <w:szCs w:val="39"/>
          <w:shd w:val="clear" w:fill="FFFFFF"/>
        </w:rPr>
        <w:t>第四章 资格审查与评标</w:t>
      </w:r>
    </w:p>
    <w:p w14:paraId="658E06B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一、资格审查</w:t>
      </w:r>
    </w:p>
    <w:p w14:paraId="79C93CD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1、开标结束后，由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负责资格审查小组的组建及资格审查工作的组织。</w:t>
      </w:r>
    </w:p>
    <w:p w14:paraId="1D93B72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FF0000"/>
          <w:spacing w:val="0"/>
          <w:sz w:val="21"/>
          <w:szCs w:val="21"/>
          <w:lang w:eastAsia="zh-CN"/>
        </w:rPr>
      </w:pPr>
      <w:r>
        <w:rPr>
          <w:rFonts w:hint="eastAsia" w:ascii="宋体" w:hAnsi="宋体" w:eastAsia="宋体" w:cs="宋体"/>
          <w:i w:val="0"/>
          <w:iCs w:val="0"/>
          <w:caps w:val="0"/>
          <w:color w:val="auto"/>
          <w:spacing w:val="0"/>
          <w:sz w:val="21"/>
          <w:szCs w:val="21"/>
          <w:shd w:val="clear" w:fill="FFFFFF"/>
        </w:rPr>
        <w:t>1.1资格审查小组</w:t>
      </w:r>
    </w:p>
    <w:p w14:paraId="06F3E20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资格审查小组由</w:t>
      </w:r>
      <w:r>
        <w:rPr>
          <w:rFonts w:hint="eastAsia" w:ascii="宋体" w:hAnsi="宋体" w:eastAsia="宋体" w:cs="宋体"/>
          <w:color w:val="auto"/>
          <w:kern w:val="0"/>
          <w:sz w:val="24"/>
          <w:highlight w:val="none"/>
          <w:u w:val="single"/>
        </w:rPr>
        <w:t xml:space="preserve"> 评标委员会 </w:t>
      </w:r>
      <w:r>
        <w:rPr>
          <w:rFonts w:hint="eastAsia" w:ascii="宋体" w:hAnsi="宋体" w:eastAsia="宋体" w:cs="宋体"/>
          <w:color w:val="auto"/>
          <w:kern w:val="0"/>
          <w:sz w:val="24"/>
          <w:highlight w:val="none"/>
        </w:rPr>
        <w:t>组成，并负责具体审查事务</w:t>
      </w:r>
    </w:p>
    <w:p w14:paraId="14E8CD1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1.2资格审查的依据是招标文件和投标文件。</w:t>
      </w:r>
    </w:p>
    <w:p w14:paraId="7857CD8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1.3资格审查的范围及内容：投标文件（资格及资信证明部分），具体如下：</w:t>
      </w:r>
    </w:p>
    <w:p w14:paraId="7EE2FE4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（1）“投标函”；</w:t>
      </w:r>
    </w:p>
    <w:p w14:paraId="68C55C6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（2）“投标人的资格及资信证明文件”</w:t>
      </w:r>
    </w:p>
    <w:p w14:paraId="0564F8F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①一般资格证明文件：</w:t>
      </w:r>
    </w:p>
    <w:tbl>
      <w:tblPr>
        <w:tblStyle w:val="18"/>
        <w:tblpPr w:leftFromText="180" w:rightFromText="180" w:vertAnchor="text" w:horzAnchor="page" w:tblpX="1240" w:tblpY="474"/>
        <w:tblOverlap w:val="never"/>
        <w:tblW w:w="967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3"/>
        <w:gridCol w:w="2199"/>
        <w:gridCol w:w="6752"/>
      </w:tblGrid>
      <w:tr w14:paraId="11BB4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54B74B">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b/>
                <w:bCs/>
                <w:kern w:val="0"/>
                <w:sz w:val="21"/>
                <w:szCs w:val="21"/>
                <w:lang w:val="en-US" w:eastAsia="zh-Hans"/>
              </w:rPr>
            </w:pPr>
            <w:r>
              <w:rPr>
                <w:rFonts w:hint="eastAsia" w:asciiTheme="minorHAnsi" w:hAnsiTheme="minorHAnsi" w:eastAsiaTheme="minorEastAsia" w:cstheme="minorBidi"/>
                <w:b/>
                <w:bCs/>
                <w:kern w:val="0"/>
                <w:sz w:val="21"/>
                <w:szCs w:val="21"/>
                <w:lang w:val="en-US" w:eastAsia="zh-CN"/>
              </w:rPr>
              <w:t>序号</w:t>
            </w:r>
          </w:p>
        </w:tc>
        <w:tc>
          <w:tcPr>
            <w:tcW w:w="21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A0BF22">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b/>
                <w:bCs/>
                <w:kern w:val="0"/>
                <w:sz w:val="21"/>
                <w:szCs w:val="21"/>
                <w:lang w:val="en-US" w:eastAsia="zh-Hans"/>
              </w:rPr>
            </w:pPr>
            <w:r>
              <w:rPr>
                <w:rFonts w:hint="eastAsia" w:asciiTheme="minorHAnsi" w:hAnsiTheme="minorHAnsi" w:eastAsiaTheme="minorEastAsia" w:cstheme="minorBidi"/>
                <w:b/>
                <w:bCs/>
                <w:kern w:val="0"/>
                <w:sz w:val="21"/>
                <w:szCs w:val="21"/>
                <w:lang w:val="en-US" w:eastAsia="zh-CN"/>
              </w:rPr>
              <w:t>资格审查要求概况</w:t>
            </w:r>
          </w:p>
        </w:tc>
        <w:tc>
          <w:tcPr>
            <w:tcW w:w="6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55B0AA">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b/>
                <w:bCs/>
                <w:kern w:val="0"/>
                <w:sz w:val="21"/>
                <w:szCs w:val="21"/>
                <w:lang w:val="en-US" w:eastAsia="zh-Hans"/>
              </w:rPr>
            </w:pPr>
            <w:r>
              <w:rPr>
                <w:rFonts w:hint="eastAsia" w:asciiTheme="minorHAnsi" w:hAnsiTheme="minorHAnsi" w:eastAsiaTheme="minorEastAsia" w:cstheme="minorBidi"/>
                <w:b/>
                <w:bCs/>
                <w:kern w:val="0"/>
                <w:sz w:val="21"/>
                <w:szCs w:val="21"/>
                <w:lang w:val="en-US" w:eastAsia="zh-CN"/>
              </w:rPr>
              <w:t>评审点具体描述</w:t>
            </w:r>
          </w:p>
        </w:tc>
      </w:tr>
      <w:tr w14:paraId="46463D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AD6F00">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1</w:t>
            </w:r>
          </w:p>
        </w:tc>
        <w:tc>
          <w:tcPr>
            <w:tcW w:w="21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D986B5">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单位授权书</w:t>
            </w:r>
          </w:p>
        </w:tc>
        <w:tc>
          <w:tcPr>
            <w:tcW w:w="6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008FEF">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E0222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8BD2C5">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2</w:t>
            </w:r>
          </w:p>
        </w:tc>
        <w:tc>
          <w:tcPr>
            <w:tcW w:w="21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ED4923">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营业执照等证明文件</w:t>
            </w:r>
          </w:p>
        </w:tc>
        <w:tc>
          <w:tcPr>
            <w:tcW w:w="6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9046EA">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66268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560DA6">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3</w:t>
            </w:r>
          </w:p>
        </w:tc>
        <w:tc>
          <w:tcPr>
            <w:tcW w:w="21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0CEA8D">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提供财务状况报告(财务报告、或资信证明）</w:t>
            </w:r>
          </w:p>
        </w:tc>
        <w:tc>
          <w:tcPr>
            <w:tcW w:w="6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EE43A9">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EF97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E0C51C">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4</w:t>
            </w:r>
          </w:p>
        </w:tc>
        <w:tc>
          <w:tcPr>
            <w:tcW w:w="21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DD79C3">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依法缴纳税收证明材料</w:t>
            </w:r>
          </w:p>
        </w:tc>
        <w:tc>
          <w:tcPr>
            <w:tcW w:w="6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733A44">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46BCF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787F74">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5</w:t>
            </w:r>
          </w:p>
        </w:tc>
        <w:tc>
          <w:tcPr>
            <w:tcW w:w="21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D9385D">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依法缴纳社会保障资金证明材料</w:t>
            </w:r>
          </w:p>
        </w:tc>
        <w:tc>
          <w:tcPr>
            <w:tcW w:w="6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B0C545">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DCAD3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BBB3FB">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6</w:t>
            </w:r>
          </w:p>
        </w:tc>
        <w:tc>
          <w:tcPr>
            <w:tcW w:w="21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91051B">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具备履行合同所必需设备和专业技术能力的声明函(若有)</w:t>
            </w:r>
          </w:p>
        </w:tc>
        <w:tc>
          <w:tcPr>
            <w:tcW w:w="6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F9CBD3">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69051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460319">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7</w:t>
            </w:r>
          </w:p>
        </w:tc>
        <w:tc>
          <w:tcPr>
            <w:tcW w:w="21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11F7A7">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参加采购活动前三年内在经营活动中没有重大违法记录的声明</w:t>
            </w:r>
          </w:p>
        </w:tc>
        <w:tc>
          <w:tcPr>
            <w:tcW w:w="6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A6687B">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B51B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67E8DB">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8</w:t>
            </w:r>
          </w:p>
        </w:tc>
        <w:tc>
          <w:tcPr>
            <w:tcW w:w="21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6C6159">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信用记录查询结果</w:t>
            </w:r>
          </w:p>
        </w:tc>
        <w:tc>
          <w:tcPr>
            <w:tcW w:w="6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5D0C37">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D64FD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10BCFB">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9</w:t>
            </w:r>
          </w:p>
        </w:tc>
        <w:tc>
          <w:tcPr>
            <w:tcW w:w="21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6894CC">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中小企业声明函（以资格条件落实中小企业扶持政策时适用 ）</w:t>
            </w:r>
          </w:p>
        </w:tc>
        <w:tc>
          <w:tcPr>
            <w:tcW w:w="6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1B5957">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D667E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2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CE61F1">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10</w:t>
            </w:r>
          </w:p>
        </w:tc>
        <w:tc>
          <w:tcPr>
            <w:tcW w:w="219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DB5531">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联合体协议（若有）</w:t>
            </w:r>
          </w:p>
        </w:tc>
        <w:tc>
          <w:tcPr>
            <w:tcW w:w="675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DBC5AF">
            <w:pPr>
              <w:keepNext w:val="0"/>
              <w:keepLines w:val="0"/>
              <w:widowControl/>
              <w:suppressLineNumbers w:val="0"/>
              <w:wordWrap w:val="0"/>
              <w:spacing w:before="0" w:beforeAutospacing="0" w:after="0" w:afterAutospacing="0" w:line="480" w:lineRule="atLeast"/>
              <w:ind w:left="0" w:right="0"/>
              <w:jc w:val="left"/>
              <w:rPr>
                <w:rFonts w:hint="eastAsia" w:asciiTheme="minorHAnsi" w:hAnsiTheme="minorHAnsi" w:eastAsiaTheme="minorEastAsia" w:cstheme="minorBidi"/>
                <w:kern w:val="0"/>
                <w:sz w:val="21"/>
                <w:szCs w:val="21"/>
                <w:lang w:val="en-US" w:eastAsia="zh-Hans"/>
              </w:rPr>
            </w:pPr>
            <w:r>
              <w:rPr>
                <w:rFonts w:hint="eastAsia" w:asciiTheme="minorHAnsi" w:hAnsiTheme="minorHAnsi" w:eastAsiaTheme="minorEastAsia" w:cstheme="minorBidi"/>
                <w:kern w:val="0"/>
                <w:sz w:val="21"/>
                <w:szCs w:val="21"/>
                <w:lang w:val="en-US" w:eastAsia="zh-CN"/>
              </w:rPr>
              <w:t>①招标文件接受联合体投标且投标人为联合体的，投标人应提供本协议；否则无须提供。 ②本协议由委托代理人签字或盖章的，应按照招标文件第七章载明的格式提供“单位授权书”。</w:t>
            </w:r>
          </w:p>
        </w:tc>
      </w:tr>
    </w:tbl>
    <w:p w14:paraId="129F3E9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采购包1：</w:t>
      </w:r>
    </w:p>
    <w:p w14:paraId="7658034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Theme="minorHAnsi" w:hAnsiTheme="minorHAnsi" w:eastAsiaTheme="minorEastAsia" w:cstheme="minorBidi"/>
          <w:kern w:val="0"/>
          <w:sz w:val="22"/>
          <w:szCs w:val="22"/>
          <w:lang w:val="en-US" w:eastAsia="zh-Hans"/>
        </w:rPr>
        <w:t>※备注说明</w:t>
      </w:r>
    </w:p>
    <w:p w14:paraId="3E720FD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①投标人应根据自身实际情况提供上述资格要求的证明材料，格式可参考招标文件第七章提供。</w:t>
      </w:r>
    </w:p>
    <w:p w14:paraId="55E68E1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②投标人提供的相应证明材料复印件均应符合：内容完整、清晰、整洁，并由投标人加盖其单位公章。</w:t>
      </w:r>
    </w:p>
    <w:p w14:paraId="1D682A3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②.其他资格证明文件：</w:t>
      </w:r>
    </w:p>
    <w:p w14:paraId="6EEC71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采购包1：</w:t>
      </w:r>
    </w:p>
    <w:tbl>
      <w:tblPr>
        <w:tblStyle w:val="18"/>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25"/>
        <w:gridCol w:w="6749"/>
      </w:tblGrid>
      <w:tr w14:paraId="4385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9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25BC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资格审查要求概况</w:t>
            </w:r>
          </w:p>
        </w:tc>
        <w:tc>
          <w:tcPr>
            <w:tcW w:w="67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C75F4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评审点具体描述</w:t>
            </w:r>
          </w:p>
        </w:tc>
      </w:tr>
      <w:tr w14:paraId="55CC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9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1BFA33">
            <w:pPr>
              <w:widowControl/>
              <w:jc w:val="left"/>
              <w:rPr>
                <w:rFonts w:hint="eastAsia" w:asciiTheme="minorHAnsi" w:hAnsiTheme="minorHAnsi" w:eastAsiaTheme="minorEastAsia" w:cstheme="minorBidi"/>
                <w:kern w:val="0"/>
                <w:sz w:val="21"/>
                <w:szCs w:val="21"/>
                <w:lang w:val="en-US" w:eastAsia="zh-CN"/>
              </w:rPr>
            </w:pPr>
            <w:r>
              <w:rPr>
                <w:rFonts w:hint="eastAsia" w:ascii="宋体" w:hAnsi="宋体" w:eastAsia="宋体" w:cs="宋体"/>
                <w:b w:val="0"/>
                <w:bCs w:val="0"/>
                <w:color w:val="auto"/>
                <w:kern w:val="0"/>
                <w:sz w:val="21"/>
                <w:szCs w:val="21"/>
                <w:lang w:val="en-US" w:eastAsia="zh-CN" w:bidi="ar"/>
              </w:rPr>
              <w:t>特定资格要求</w:t>
            </w:r>
          </w:p>
        </w:tc>
        <w:tc>
          <w:tcPr>
            <w:tcW w:w="67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17B80CB">
            <w:pPr>
              <w:widowControl/>
              <w:jc w:val="left"/>
              <w:rPr>
                <w:rFonts w:hint="eastAsia" w:asciiTheme="minorHAnsi" w:hAnsiTheme="minorHAnsi" w:eastAsiaTheme="minorEastAsia" w:cstheme="minorBidi"/>
                <w:kern w:val="0"/>
                <w:sz w:val="21"/>
                <w:szCs w:val="21"/>
                <w:lang w:val="en-US" w:eastAsia="zh-CN"/>
              </w:rPr>
            </w:pPr>
            <w:r>
              <w:rPr>
                <w:rFonts w:hint="eastAsia" w:ascii="宋体" w:hAnsi="宋体" w:cs="宋体"/>
                <w:b w:val="0"/>
                <w:bCs w:val="0"/>
                <w:color w:val="auto"/>
                <w:kern w:val="0"/>
                <w:sz w:val="21"/>
                <w:szCs w:val="21"/>
                <w:lang w:val="en-US" w:eastAsia="zh-CN" w:bidi="ar"/>
              </w:rPr>
              <w:t>投标人</w:t>
            </w:r>
            <w:r>
              <w:rPr>
                <w:rFonts w:hint="eastAsia" w:ascii="宋体" w:hAnsi="宋体" w:eastAsia="宋体" w:cs="宋体"/>
                <w:b w:val="0"/>
                <w:bCs w:val="0"/>
                <w:color w:val="auto"/>
                <w:kern w:val="0"/>
                <w:sz w:val="21"/>
                <w:szCs w:val="21"/>
                <w:lang w:val="en-US" w:eastAsia="zh-CN" w:bidi="ar"/>
              </w:rPr>
              <w:t>应在莆田城市园林发展集团有限公司供应商备选库中资产评估类入库的单位。</w:t>
            </w:r>
          </w:p>
        </w:tc>
      </w:tr>
      <w:tr w14:paraId="4B01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9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382832DF">
            <w:pPr>
              <w:pStyle w:val="37"/>
              <w:spacing w:line="360" w:lineRule="auto"/>
              <w:jc w:val="both"/>
              <w:rPr>
                <w:rFonts w:hint="eastAsia" w:asciiTheme="minorHAnsi" w:hAnsiTheme="minorHAnsi" w:eastAsiaTheme="minorEastAsia" w:cstheme="minorBidi"/>
                <w:kern w:val="0"/>
                <w:sz w:val="21"/>
                <w:szCs w:val="21"/>
                <w:lang w:val="en-US" w:eastAsia="zh-CN" w:bidi="ar-SA"/>
              </w:rPr>
            </w:pPr>
            <w:r>
              <w:rPr>
                <w:rFonts w:hint="eastAsia" w:asciiTheme="minorHAnsi" w:hAnsiTheme="minorHAnsi" w:eastAsiaTheme="minorEastAsia" w:cstheme="minorBidi"/>
                <w:kern w:val="0"/>
                <w:sz w:val="21"/>
                <w:szCs w:val="21"/>
                <w:lang w:val="en-US" w:eastAsia="zh-CN" w:bidi="ar-SA"/>
              </w:rPr>
              <w:t>供应商资格承诺函</w:t>
            </w:r>
          </w:p>
        </w:tc>
        <w:tc>
          <w:tcPr>
            <w:tcW w:w="674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top"/>
          </w:tcPr>
          <w:p w14:paraId="0D8B0F82">
            <w:pPr>
              <w:pStyle w:val="37"/>
              <w:spacing w:line="360" w:lineRule="auto"/>
              <w:jc w:val="both"/>
              <w:rPr>
                <w:rFonts w:hint="eastAsia" w:asciiTheme="minorHAnsi" w:hAnsiTheme="minorHAnsi" w:eastAsiaTheme="minorEastAsia" w:cstheme="minorBidi"/>
                <w:kern w:val="0"/>
                <w:sz w:val="21"/>
                <w:szCs w:val="21"/>
                <w:lang w:val="en-US" w:eastAsia="zh-CN" w:bidi="ar-SA"/>
              </w:rPr>
            </w:pPr>
            <w:r>
              <w:rPr>
                <w:rFonts w:hint="eastAsia" w:asciiTheme="minorHAnsi" w:hAnsiTheme="minorHAnsi" w:eastAsiaTheme="minorEastAsia" w:cstheme="minorBidi"/>
                <w:kern w:val="0"/>
                <w:sz w:val="21"/>
                <w:szCs w:val="21"/>
                <w:lang w:val="en-US" w:eastAsia="zh-CN" w:bidi="ar-SA"/>
              </w:rPr>
              <w:t>根据《福建省财政厅关于印发推行政府采购供应商资格承诺制指导意见的通知》（闽财购(2024)6号）的规定，依法在福建省参与政府采购活动的供应商，可提供《政府采购供应商资格承诺函》。供应商应对其承诺内容的真实性、合法性、有效性负责。说明：1.供应商可自行选择是否提供资格承诺函，若不提供资格承诺函的，应按招标文件要求提供相应的证明材料。2.若招标文件中有与此处描述不一致的，以此处描述为准。</w:t>
            </w:r>
          </w:p>
        </w:tc>
      </w:tr>
    </w:tbl>
    <w:p w14:paraId="1810569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（3）投标保证金。</w:t>
      </w:r>
    </w:p>
    <w:p w14:paraId="73AD7A1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1.4有下列情形之一的，资格审查不合格：</w:t>
      </w:r>
    </w:p>
    <w:tbl>
      <w:tblPr>
        <w:tblStyle w:val="18"/>
        <w:tblW w:w="967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674"/>
      </w:tblGrid>
      <w:tr w14:paraId="7D9B3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96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32688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明细</w:t>
            </w:r>
          </w:p>
        </w:tc>
      </w:tr>
      <w:tr w14:paraId="4311D7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BA9A0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未按照招标文件规定提交投标函</w:t>
            </w:r>
          </w:p>
        </w:tc>
      </w:tr>
      <w:tr w14:paraId="64278C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61082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未按照招标文件规定提交投标人的资格及资信文件</w:t>
            </w:r>
          </w:p>
        </w:tc>
      </w:tr>
      <w:tr w14:paraId="362991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7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3DA05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未按照招标文件规定提交投标保证金</w:t>
            </w:r>
          </w:p>
        </w:tc>
      </w:tr>
    </w:tbl>
    <w:p w14:paraId="3840A2A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采购包1：</w:t>
      </w:r>
    </w:p>
    <w:p w14:paraId="38FEF66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2"/>
          <w:szCs w:val="22"/>
          <w:shd w:val="clear" w:fill="FFFFFF"/>
        </w:rPr>
        <w:t>资格审查不合格项：</w:t>
      </w:r>
    </w:p>
    <w:tbl>
      <w:tblPr>
        <w:tblStyle w:val="18"/>
        <w:tblW w:w="967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35"/>
        <w:gridCol w:w="8339"/>
      </w:tblGrid>
      <w:tr w14:paraId="44BB9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3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DA0FE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情形</w:t>
            </w:r>
          </w:p>
        </w:tc>
        <w:tc>
          <w:tcPr>
            <w:tcW w:w="833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C9B7D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明细</w:t>
            </w:r>
          </w:p>
        </w:tc>
      </w:tr>
      <w:tr w14:paraId="3DD62D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33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C9D5A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其他情形</w:t>
            </w:r>
          </w:p>
        </w:tc>
        <w:tc>
          <w:tcPr>
            <w:tcW w:w="833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4B8DF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资格及资信证明部分中不得出现报价部分的全部或部分的投标报价信息（或组成资料），否则资格性审查不合格。</w:t>
            </w:r>
          </w:p>
        </w:tc>
      </w:tr>
    </w:tbl>
    <w:p w14:paraId="46909D6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6E9617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2、资格审查情况不得私自外泄，有关信息由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统一对外发布。</w:t>
      </w:r>
    </w:p>
    <w:p w14:paraId="2A56575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3、资格审查合格的投标人不足三家的，不进行评标。同时，本次采购活动结束，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将依法组织后续采购活动（包括但不限于：重新招标、采用其他方式采购等）。</w:t>
      </w:r>
    </w:p>
    <w:p w14:paraId="60D92C1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二、评标</w:t>
      </w:r>
    </w:p>
    <w:p w14:paraId="68A06EB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4、资格审查结束后，由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负责评标委员会的组建及评标工作的组织。</w:t>
      </w:r>
    </w:p>
    <w:p w14:paraId="6FB3806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5、评标委员会</w:t>
      </w:r>
    </w:p>
    <w:p w14:paraId="2CDC43C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shd w:val="clear" w:fill="FFFFFF"/>
        </w:rPr>
        <w:t>由采购人代表和评审专家两部分共</w:t>
      </w:r>
      <w:r>
        <w:rPr>
          <w:rFonts w:hint="eastAsia" w:ascii="宋体" w:hAnsi="宋体" w:eastAsia="宋体" w:cs="宋体"/>
          <w:i w:val="0"/>
          <w:iCs w:val="0"/>
          <w:caps w:val="0"/>
          <w:color w:val="auto"/>
          <w:spacing w:val="0"/>
          <w:sz w:val="21"/>
          <w:szCs w:val="21"/>
          <w:shd w:val="clear" w:fill="FFFFFF"/>
          <w:lang w:val="en-US" w:eastAsia="zh-CN"/>
        </w:rPr>
        <w:t>3</w:t>
      </w:r>
      <w:r>
        <w:rPr>
          <w:rFonts w:hint="eastAsia" w:ascii="宋体" w:hAnsi="宋体" w:eastAsia="宋体" w:cs="宋体"/>
          <w:i w:val="0"/>
          <w:iCs w:val="0"/>
          <w:caps w:val="0"/>
          <w:color w:val="auto"/>
          <w:spacing w:val="0"/>
          <w:sz w:val="21"/>
          <w:szCs w:val="21"/>
          <w:shd w:val="clear" w:fill="FFFFFF"/>
        </w:rPr>
        <w:t>人组成， 其中由采购评审专家库产生的</w:t>
      </w:r>
      <w:r>
        <w:rPr>
          <w:rFonts w:hint="eastAsia" w:ascii="宋体" w:hAnsi="宋体" w:eastAsia="宋体" w:cs="宋体"/>
          <w:i w:val="0"/>
          <w:iCs w:val="0"/>
          <w:caps w:val="0"/>
          <w:color w:val="0000FF"/>
          <w:spacing w:val="0"/>
          <w:sz w:val="21"/>
          <w:szCs w:val="21"/>
          <w:highlight w:val="none"/>
          <w:shd w:val="clear" w:fill="FFFFFF"/>
        </w:rPr>
        <w:t>评审专家</w:t>
      </w:r>
      <w:r>
        <w:rPr>
          <w:rFonts w:hint="eastAsia" w:ascii="宋体" w:hAnsi="宋体" w:eastAsia="宋体" w:cs="宋体"/>
          <w:i w:val="0"/>
          <w:iCs w:val="0"/>
          <w:caps w:val="0"/>
          <w:strike w:val="0"/>
          <w:dstrike w:val="0"/>
          <w:color w:val="0000FF"/>
          <w:spacing w:val="0"/>
          <w:sz w:val="21"/>
          <w:szCs w:val="21"/>
          <w:highlight w:val="none"/>
          <w:shd w:val="clear" w:fill="FFFFFF"/>
          <w:lang w:val="en-US" w:eastAsia="zh-CN"/>
        </w:rPr>
        <w:t xml:space="preserve"> 3</w:t>
      </w:r>
      <w:r>
        <w:rPr>
          <w:rFonts w:hint="eastAsia" w:ascii="宋体" w:hAnsi="宋体" w:eastAsia="宋体" w:cs="宋体"/>
          <w:i w:val="0"/>
          <w:iCs w:val="0"/>
          <w:caps w:val="0"/>
          <w:color w:val="0000FF"/>
          <w:spacing w:val="0"/>
          <w:sz w:val="21"/>
          <w:szCs w:val="21"/>
          <w:highlight w:val="none"/>
          <w:shd w:val="clear" w:fill="FFFFFF"/>
        </w:rPr>
        <w:t>人</w:t>
      </w:r>
      <w:r>
        <w:rPr>
          <w:rFonts w:hint="eastAsia" w:ascii="宋体" w:hAnsi="宋体" w:eastAsia="宋体" w:cs="宋体"/>
          <w:i w:val="0"/>
          <w:iCs w:val="0"/>
          <w:caps w:val="0"/>
          <w:color w:val="auto"/>
          <w:spacing w:val="0"/>
          <w:sz w:val="21"/>
          <w:szCs w:val="21"/>
          <w:highlight w:val="none"/>
          <w:shd w:val="clear" w:fill="FFFFFF"/>
        </w:rPr>
        <w:t>，由采购人派出的采购人代表</w:t>
      </w:r>
      <w:r>
        <w:rPr>
          <w:rFonts w:hint="eastAsia" w:ascii="宋体" w:hAnsi="宋体" w:eastAsia="宋体" w:cs="宋体"/>
          <w:i w:val="0"/>
          <w:iCs w:val="0"/>
          <w:caps w:val="0"/>
          <w:strike w:val="0"/>
          <w:dstrike w:val="0"/>
          <w:color w:val="auto"/>
          <w:spacing w:val="0"/>
          <w:sz w:val="21"/>
          <w:szCs w:val="21"/>
          <w:highlight w:val="none"/>
          <w:shd w:val="clear" w:fill="FFFFFF"/>
          <w:lang w:val="en-US" w:eastAsia="zh-CN"/>
        </w:rPr>
        <w:t xml:space="preserve"> </w:t>
      </w:r>
      <w:r>
        <w:rPr>
          <w:rFonts w:hint="eastAsia" w:ascii="宋体" w:hAnsi="宋体" w:eastAsia="宋体" w:cs="宋体"/>
          <w:i w:val="0"/>
          <w:iCs w:val="0"/>
          <w:caps w:val="0"/>
          <w:color w:val="auto"/>
          <w:spacing w:val="0"/>
          <w:sz w:val="21"/>
          <w:szCs w:val="21"/>
          <w:highlight w:val="none"/>
          <w:shd w:val="clear" w:fill="FFFFFF"/>
          <w:lang w:val="en-US" w:eastAsia="zh-CN"/>
        </w:rPr>
        <w:t>0</w:t>
      </w:r>
      <w:r>
        <w:rPr>
          <w:rFonts w:hint="eastAsia" w:ascii="宋体" w:hAnsi="宋体" w:eastAsia="宋体" w:cs="宋体"/>
          <w:i w:val="0"/>
          <w:iCs w:val="0"/>
          <w:caps w:val="0"/>
          <w:color w:val="auto"/>
          <w:spacing w:val="0"/>
          <w:sz w:val="21"/>
          <w:szCs w:val="21"/>
          <w:highlight w:val="none"/>
          <w:shd w:val="clear" w:fill="FFFFFF"/>
        </w:rPr>
        <w:t>人。</w:t>
      </w:r>
    </w:p>
    <w:p w14:paraId="1C3B36F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5.2评标委员会负责具体评标事务，并按照下列原则依法独立履行有关职责：</w:t>
      </w:r>
    </w:p>
    <w:p w14:paraId="7BD5263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（1）评标应保护国家利益、社会公共利益和各方当事人合法权益，提高采购效益，保证项目质量。</w:t>
      </w:r>
    </w:p>
    <w:p w14:paraId="0B7A228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（2）评标应遵循公平、公正、科学、严谨和择优原则。</w:t>
      </w:r>
    </w:p>
    <w:p w14:paraId="7B0A143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（3）评标的依据是招标文件和投标文件。</w:t>
      </w:r>
    </w:p>
    <w:p w14:paraId="0302F5D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（4）应按照招标文件规定推荐中标候选人或确定中标人。</w:t>
      </w:r>
    </w:p>
    <w:p w14:paraId="177D8F0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（5）评标应遵守下列评标纪律：</w:t>
      </w:r>
    </w:p>
    <w:p w14:paraId="1F595DE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①评标情况不得私自外泄，有关信息由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统一对外发布。</w:t>
      </w:r>
    </w:p>
    <w:p w14:paraId="28E0537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②对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或投标人提供的要求保密的资料，不得摘记翻印和外传。</w:t>
      </w:r>
    </w:p>
    <w:p w14:paraId="258319D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③不得收受投标人或有关人员的任何礼物，不得串联鼓动其他人袒护某投标人。若与投标人存在利害关系，则应主动声明并回避。</w:t>
      </w:r>
    </w:p>
    <w:p w14:paraId="3928231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④全体评委应按照招标文件规定进行评标，一切认定事项应查有实据且不得弄虚作假。</w:t>
      </w:r>
    </w:p>
    <w:p w14:paraId="00E6D3B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⑤评标中应充分发扬民主，推荐中标候选人或确定中标人后要服从评标报告。</w:t>
      </w:r>
    </w:p>
    <w:p w14:paraId="40ABA88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※对违反评标纪律的评委，将取消其评委资格，对评标工作造成严重损失者将予以通报批评乃至追究法律责任。</w:t>
      </w:r>
    </w:p>
    <w:p w14:paraId="4C21A14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6、评标程序</w:t>
      </w:r>
    </w:p>
    <w:p w14:paraId="0FAAD21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6.1评标前的准备工作</w:t>
      </w:r>
    </w:p>
    <w:p w14:paraId="2B885DA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（1）全体评委应认真审阅招标文件，了解评委应履行或遵守的职责、义务和评标纪律。</w:t>
      </w:r>
    </w:p>
    <w:p w14:paraId="27ACA33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（2）参加评标委员会的采购人代表可对本项目的背景和采购需求进行介绍，介绍材料应以书面形式提交（随采购文件一并存档），介绍内容不得含有歧视性、倾向性意见，不得超出招标文件所述范围。</w:t>
      </w:r>
    </w:p>
    <w:p w14:paraId="01DB803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6.2符合性审查</w:t>
      </w:r>
    </w:p>
    <w:p w14:paraId="1EC2CB1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（1）评标委员会依据招标文件的实质性要求，对通过资格审查的投标文件进行符合性审查，以确定其是否满足招标文件的实质性要求。</w:t>
      </w:r>
    </w:p>
    <w:p w14:paraId="293CA0D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（2）满足招标文件的实质性要求指投标文件对招标文件实质性要求的响应不存在重大偏差或保留。</w:t>
      </w:r>
    </w:p>
    <w:p w14:paraId="559CC66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CA4FC0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0FBF98A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（5）评标委员会对所有投标人都执行相同的程序和标准。</w:t>
      </w:r>
    </w:p>
    <w:p w14:paraId="2FF5B8D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（6）有下列情形之一的，符合性审查不合格：</w:t>
      </w:r>
    </w:p>
    <w:p w14:paraId="5DBEBF3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①项目一般情形：</w:t>
      </w:r>
    </w:p>
    <w:p w14:paraId="68DD67E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采购包1：</w:t>
      </w:r>
    </w:p>
    <w:tbl>
      <w:tblPr>
        <w:tblStyle w:val="18"/>
        <w:tblW w:w="967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29"/>
        <w:gridCol w:w="2379"/>
        <w:gridCol w:w="5966"/>
      </w:tblGrid>
      <w:tr w14:paraId="7178A8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3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47C5E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序号</w:t>
            </w:r>
          </w:p>
        </w:tc>
        <w:tc>
          <w:tcPr>
            <w:tcW w:w="23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A87B4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符合审查要求概况</w:t>
            </w:r>
          </w:p>
        </w:tc>
        <w:tc>
          <w:tcPr>
            <w:tcW w:w="59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5308D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评审点具体描述</w:t>
            </w:r>
          </w:p>
        </w:tc>
      </w:tr>
      <w:tr w14:paraId="0B7862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3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2BF0D3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p>
        </w:tc>
        <w:tc>
          <w:tcPr>
            <w:tcW w:w="23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A1334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情形1</w:t>
            </w:r>
          </w:p>
        </w:tc>
        <w:tc>
          <w:tcPr>
            <w:tcW w:w="59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FC26C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违反招标文件中载明“投标无效”条款的规定；</w:t>
            </w:r>
          </w:p>
        </w:tc>
      </w:tr>
      <w:tr w14:paraId="03B4E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2F66A9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w:t>
            </w:r>
          </w:p>
        </w:tc>
        <w:tc>
          <w:tcPr>
            <w:tcW w:w="23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3F3DA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情形2</w:t>
            </w:r>
          </w:p>
        </w:tc>
        <w:tc>
          <w:tcPr>
            <w:tcW w:w="59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FCB91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属于招标文件第三章第10.12条规定的投标无效情形；</w:t>
            </w:r>
          </w:p>
        </w:tc>
      </w:tr>
      <w:tr w14:paraId="4038FD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3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72F59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w:t>
            </w:r>
          </w:p>
        </w:tc>
        <w:tc>
          <w:tcPr>
            <w:tcW w:w="23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11525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情形3</w:t>
            </w:r>
          </w:p>
        </w:tc>
        <w:tc>
          <w:tcPr>
            <w:tcW w:w="59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91136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投标文件对招标文件实质性要求的响应存在重大偏离或保留。</w:t>
            </w:r>
          </w:p>
        </w:tc>
      </w:tr>
      <w:tr w14:paraId="0FF21A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3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068D2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w:t>
            </w:r>
          </w:p>
        </w:tc>
        <w:tc>
          <w:tcPr>
            <w:tcW w:w="23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631BB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情形4</w:t>
            </w:r>
          </w:p>
        </w:tc>
        <w:tc>
          <w:tcPr>
            <w:tcW w:w="59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BFA62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未按照招标文件规定要求签署、盖章的。</w:t>
            </w:r>
          </w:p>
        </w:tc>
      </w:tr>
      <w:tr w14:paraId="3EBBD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3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5E482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w:t>
            </w:r>
          </w:p>
        </w:tc>
        <w:tc>
          <w:tcPr>
            <w:tcW w:w="23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19B8D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情形5</w:t>
            </w:r>
          </w:p>
        </w:tc>
        <w:tc>
          <w:tcPr>
            <w:tcW w:w="59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0C978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属于招标文件规定的符合性检查不合格情形的。</w:t>
            </w:r>
          </w:p>
        </w:tc>
      </w:tr>
      <w:tr w14:paraId="36282E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3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25FA3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w:t>
            </w:r>
          </w:p>
        </w:tc>
        <w:tc>
          <w:tcPr>
            <w:tcW w:w="23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D1592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情形6</w:t>
            </w:r>
          </w:p>
        </w:tc>
        <w:tc>
          <w:tcPr>
            <w:tcW w:w="59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F874C5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属于招标文件规定评标委员会应否决其投标情形的。</w:t>
            </w:r>
          </w:p>
        </w:tc>
      </w:tr>
      <w:tr w14:paraId="160D7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3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B9EFC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w:t>
            </w:r>
          </w:p>
        </w:tc>
        <w:tc>
          <w:tcPr>
            <w:tcW w:w="23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DA262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情形7</w:t>
            </w:r>
          </w:p>
        </w:tc>
        <w:tc>
          <w:tcPr>
            <w:tcW w:w="59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CA63D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投标文件中提供虚假或失实资料的。</w:t>
            </w:r>
          </w:p>
        </w:tc>
      </w:tr>
      <w:tr w14:paraId="373217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3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82FA6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w:t>
            </w:r>
          </w:p>
        </w:tc>
        <w:tc>
          <w:tcPr>
            <w:tcW w:w="23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CC01C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情形8</w:t>
            </w:r>
          </w:p>
        </w:tc>
        <w:tc>
          <w:tcPr>
            <w:tcW w:w="59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31BBF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投标文件组成不符合招标文件要求的。</w:t>
            </w:r>
          </w:p>
        </w:tc>
      </w:tr>
      <w:tr w14:paraId="640364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32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16392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w:t>
            </w:r>
          </w:p>
        </w:tc>
        <w:tc>
          <w:tcPr>
            <w:tcW w:w="23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E5250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情形9</w:t>
            </w:r>
          </w:p>
        </w:tc>
        <w:tc>
          <w:tcPr>
            <w:tcW w:w="59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57DC7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不符合招标文件中规定的实质性要求条款的。</w:t>
            </w:r>
          </w:p>
        </w:tc>
      </w:tr>
    </w:tbl>
    <w:p w14:paraId="3EDCBF8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②本项目规定的其他情形：</w:t>
      </w:r>
    </w:p>
    <w:p w14:paraId="5FC7DB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采购包1：</w:t>
      </w:r>
    </w:p>
    <w:p w14:paraId="7B07C3B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技术符合性</w:t>
      </w:r>
    </w:p>
    <w:tbl>
      <w:tblPr>
        <w:tblStyle w:val="18"/>
        <w:tblW w:w="967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05"/>
        <w:gridCol w:w="8069"/>
      </w:tblGrid>
      <w:tr w14:paraId="75535D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695A1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情形</w:t>
            </w:r>
          </w:p>
        </w:tc>
        <w:tc>
          <w:tcPr>
            <w:tcW w:w="80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2CCEC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明细</w:t>
            </w:r>
          </w:p>
        </w:tc>
      </w:tr>
      <w:tr w14:paraId="4E1969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83B07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其他情形</w:t>
            </w:r>
          </w:p>
        </w:tc>
        <w:tc>
          <w:tcPr>
            <w:tcW w:w="80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0BCA0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技术部分中不得出现报价部分的全部或部分的投标报价信息（或组成资料），否则符合性审查不合格。</w:t>
            </w:r>
          </w:p>
        </w:tc>
      </w:tr>
      <w:tr w14:paraId="2B62A9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6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A465F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其他情形</w:t>
            </w:r>
          </w:p>
        </w:tc>
        <w:tc>
          <w:tcPr>
            <w:tcW w:w="80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FBA17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技术部分不符合评标方法和标准中规定的实质性要求条款的，按无效标处理。</w:t>
            </w:r>
          </w:p>
        </w:tc>
      </w:tr>
    </w:tbl>
    <w:p w14:paraId="2ED9E12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商务符合性</w:t>
      </w:r>
    </w:p>
    <w:tbl>
      <w:tblPr>
        <w:tblStyle w:val="18"/>
        <w:tblW w:w="967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08"/>
        <w:gridCol w:w="8066"/>
      </w:tblGrid>
      <w:tr w14:paraId="67C9B6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60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B83A6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情形</w:t>
            </w:r>
          </w:p>
        </w:tc>
        <w:tc>
          <w:tcPr>
            <w:tcW w:w="80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C83CC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明细</w:t>
            </w:r>
          </w:p>
        </w:tc>
      </w:tr>
      <w:tr w14:paraId="1BBC99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60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67E3A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其他情形</w:t>
            </w:r>
          </w:p>
        </w:tc>
        <w:tc>
          <w:tcPr>
            <w:tcW w:w="80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C47A5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商务部分中不得出现报价部分的全部或部分的投标报价信息（或组成资料），否则符合性审查不合格。</w:t>
            </w:r>
          </w:p>
        </w:tc>
      </w:tr>
      <w:tr w14:paraId="558465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60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0D6CD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其他情形</w:t>
            </w:r>
          </w:p>
        </w:tc>
        <w:tc>
          <w:tcPr>
            <w:tcW w:w="80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23975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投标人未在投标文件中完全响应招标文件第五章“三、商务条件”全部内容的，按无效标处理。</w:t>
            </w:r>
          </w:p>
        </w:tc>
      </w:tr>
    </w:tbl>
    <w:p w14:paraId="0BC11F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附加符合性：无</w:t>
      </w:r>
    </w:p>
    <w:p w14:paraId="09F4F8C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价格符合性：无</w:t>
      </w:r>
    </w:p>
    <w:p w14:paraId="01C09FF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6.3澄清有关问题</w:t>
      </w:r>
    </w:p>
    <w:p w14:paraId="1C75428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（1）对通过符合性审查的投标文件中含义不明确、同类问题表述不一致或有明显文字和计算错误的内容，评标委员会将以书面形式要求投标人作出必要的澄清、说明或补正。</w:t>
      </w:r>
    </w:p>
    <w:p w14:paraId="69550A8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76ECA4A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（3）投标文件报价出现前后不一致的，除招标文件另有规定外，按照下列规定修正：</w:t>
      </w:r>
    </w:p>
    <w:p w14:paraId="61DB6B3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①开标一览表内容与投标文件中相应内容不一致的，以开标一览表为准；</w:t>
      </w:r>
    </w:p>
    <w:p w14:paraId="1701F33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②大写金额和小写金额不一致的，以大写金额为准；</w:t>
      </w:r>
    </w:p>
    <w:p w14:paraId="7BDD756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③单价金额小数点或百分比有明显错位的，以开标一览表的总价为准，并修改单价；</w:t>
      </w:r>
    </w:p>
    <w:p w14:paraId="5249874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④总价金额与按照单价汇总金额不一致的，以单价金额计算结果为准。</w:t>
      </w:r>
    </w:p>
    <w:p w14:paraId="1F732AF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※同时出现两种以上不一致的，按照前款规定的顺序修正。修正后的报价应按照本章第6.3条第（1）、（2）款规定经投标人确认后产生约束力，投标人不确认的，其投标无效。</w:t>
      </w:r>
    </w:p>
    <w:p w14:paraId="76DEF62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（4）关于细微偏差</w:t>
      </w:r>
    </w:p>
    <w:p w14:paraId="7FE5D99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2A97704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②评标委员会将以书面形式要求存在细微偏差的投标人在评标委员会规定的时间内予以补正。若无法补正，则评标委员会将按照不利于投标人的内容进行认定。</w:t>
      </w:r>
    </w:p>
    <w:p w14:paraId="472C8D8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（5）关于投标描述（即投标文件中描述的内容）</w:t>
      </w:r>
    </w:p>
    <w:p w14:paraId="258DC87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①投标描述前后不一致且不涉及证明材料的：按照本章第6.3条第（1）、（2）款规定执行。</w:t>
      </w:r>
    </w:p>
    <w:p w14:paraId="5F2133C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②投标描述与证明材料不一致或多份证明材料之间不一致的：</w:t>
      </w:r>
    </w:p>
    <w:p w14:paraId="560B92A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a.评标委员会将要求投标人进行书面澄清，并按照不利于投标人的内容进行评标。</w:t>
      </w:r>
    </w:p>
    <w:p w14:paraId="7B2E594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91C8D1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008E2C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6.4比较与评价</w:t>
      </w:r>
    </w:p>
    <w:p w14:paraId="57A9830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（1）按照本章第7条载明的评标方法和标准，对符合性审查合格的投标文件进行比较与评价。</w:t>
      </w:r>
    </w:p>
    <w:p w14:paraId="49918C1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（2）关于相同品牌产品（政府采购服务类项目不适用本条款规定）</w:t>
      </w:r>
    </w:p>
    <w:p w14:paraId="339EF31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0601C9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a.招标文件规定的方式：</w:t>
      </w:r>
    </w:p>
    <w:p w14:paraId="3EE368E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无</w:t>
      </w:r>
    </w:p>
    <w:p w14:paraId="2F6BD12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b.招标文件未规定的，采取随机抽取方式确定，其他投标无效。</w:t>
      </w:r>
    </w:p>
    <w:p w14:paraId="27CB4E2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9CC058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a.招标文件规定的方式：</w:t>
      </w:r>
    </w:p>
    <w:p w14:paraId="79008B3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无</w:t>
      </w:r>
    </w:p>
    <w:p w14:paraId="1B604F1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b.招标文件未规定的，采取随机抽取方式确定，其他同品牌投标人不作为中标候选人。</w:t>
      </w:r>
    </w:p>
    <w:p w14:paraId="183A431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③非单一产品采购项目，多家投标人提供的核心产品品牌相同的，按照本章第6.4条第（2）款第①、②规定处理。</w:t>
      </w:r>
    </w:p>
    <w:p w14:paraId="229C9F5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（3）漏（缺）项</w:t>
      </w:r>
    </w:p>
    <w:p w14:paraId="41DEA32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①招标文件中要求列入报价的费用（含配置、功能），漏（缺）项的报价视为已经包括在投标总价中。</w:t>
      </w:r>
    </w:p>
    <w:p w14:paraId="4CD5892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②对多报项及赠送项的价格评标时不予核减，全部进入评标价评议。</w:t>
      </w:r>
    </w:p>
    <w:p w14:paraId="08239D5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6.5推荐中标候选人：详见本章第7.2条规定。</w:t>
      </w:r>
    </w:p>
    <w:p w14:paraId="52E1E92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6.6编写评标报告</w:t>
      </w:r>
    </w:p>
    <w:p w14:paraId="6EAE790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（1）评标报告由评标委员会负责编写。</w:t>
      </w:r>
    </w:p>
    <w:p w14:paraId="3EFDF1F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（2）评标报告应包括下列内容：</w:t>
      </w:r>
    </w:p>
    <w:p w14:paraId="12C81A8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①招标公告刊登的媒体名称、开标日期和地点；</w:t>
      </w:r>
    </w:p>
    <w:p w14:paraId="63BE060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②投标人名单和评标委员会成员名单；</w:t>
      </w:r>
    </w:p>
    <w:p w14:paraId="6FCEAAC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③评标方法和标准；</w:t>
      </w:r>
    </w:p>
    <w:p w14:paraId="1BC17B6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④开标记录和评标情况及说明，包括无效投标人名单及原因；</w:t>
      </w:r>
    </w:p>
    <w:p w14:paraId="53E5CCC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⑤评标结果，包括中标候选人名单或确定的中标人；</w:t>
      </w:r>
    </w:p>
    <w:p w14:paraId="20F6F24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⑥其他需要说明的情况，包括但不限于：评标过程中投标人的澄清、说明或补正，评委更换等。</w:t>
      </w:r>
    </w:p>
    <w:p w14:paraId="694BB92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362EEE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6.8评委对需要共同认定的事项存在争议的，应按照少数服从多数的原则进行认定。持不同意见的评委应在评标报告上签署不同意见及理由，否则视为同意评标报告。</w:t>
      </w:r>
    </w:p>
    <w:p w14:paraId="270759A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6.9在评标过程中发现投标人有下列情形之一的，评标委员会应认定其投标无效，并书面报告本项目监督管理部门：</w:t>
      </w:r>
    </w:p>
    <w:p w14:paraId="2479273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（1）恶意串通（包括但不限于招标文件第三章第9.7条规定情形）；</w:t>
      </w:r>
    </w:p>
    <w:p w14:paraId="27AA84D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（2）妨碍其他投标人的竞争行为；</w:t>
      </w:r>
    </w:p>
    <w:p w14:paraId="7154FD6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（3）损害采购人或其他投标人的合法权益。</w:t>
      </w:r>
    </w:p>
    <w:p w14:paraId="01BE9FC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6.10评标过程中，有下列情形之一的，应予废标：</w:t>
      </w:r>
    </w:p>
    <w:p w14:paraId="5CEC4F3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（1）符合性审查合格的投标人不足三家的；</w:t>
      </w:r>
    </w:p>
    <w:p w14:paraId="5165B2C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（2）有关法律、法规和规章规定废标的情形。</w:t>
      </w:r>
    </w:p>
    <w:p w14:paraId="577FA16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※若废标，则本次采购活动结束， </w:t>
      </w:r>
      <w:r>
        <w:rPr>
          <w:rFonts w:hint="eastAsia" w:ascii="宋体" w:hAnsi="宋体" w:eastAsia="宋体" w:cs="宋体"/>
          <w:i w:val="0"/>
          <w:iCs w:val="0"/>
          <w:caps w:val="0"/>
          <w:color w:val="auto"/>
          <w:spacing w:val="0"/>
          <w:sz w:val="21"/>
          <w:szCs w:val="21"/>
          <w:shd w:val="clear" w:fill="FFFFFF"/>
          <w:lang w:eastAsia="zh-CN"/>
        </w:rPr>
        <w:t>福建省亿达工程咨询有限公司</w:t>
      </w:r>
      <w:r>
        <w:rPr>
          <w:rFonts w:hint="eastAsia" w:ascii="宋体" w:hAnsi="宋体" w:eastAsia="宋体" w:cs="宋体"/>
          <w:i w:val="0"/>
          <w:iCs w:val="0"/>
          <w:caps w:val="0"/>
          <w:color w:val="auto"/>
          <w:spacing w:val="0"/>
          <w:sz w:val="21"/>
          <w:szCs w:val="21"/>
          <w:shd w:val="clear" w:fill="FFFFFF"/>
        </w:rPr>
        <w:t> 将依法组织后续采购活动（包括但不限于：重新招标、采用其他方式采购等）。</w:t>
      </w:r>
    </w:p>
    <w:p w14:paraId="4D10785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7、评标方法和标准</w:t>
      </w:r>
    </w:p>
    <w:p w14:paraId="70AB108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7.1评标方法：</w:t>
      </w:r>
    </w:p>
    <w:p w14:paraId="70F65B8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0000FF"/>
          <w:spacing w:val="0"/>
          <w:sz w:val="21"/>
          <w:szCs w:val="21"/>
          <w:shd w:val="clear" w:fill="FFFFFF"/>
        </w:rPr>
      </w:pPr>
      <w:r>
        <w:rPr>
          <w:rFonts w:hint="eastAsia" w:ascii="宋体" w:hAnsi="宋体" w:eastAsia="宋体" w:cs="宋体"/>
          <w:i w:val="0"/>
          <w:iCs w:val="0"/>
          <w:caps w:val="0"/>
          <w:color w:val="0000FF"/>
          <w:spacing w:val="0"/>
          <w:sz w:val="21"/>
          <w:szCs w:val="21"/>
          <w:shd w:val="clear" w:fill="FFFFFF"/>
        </w:rPr>
        <w:t>采购包1：</w:t>
      </w:r>
      <w:r>
        <w:rPr>
          <w:rFonts w:hint="eastAsia" w:ascii="宋体" w:hAnsi="宋体" w:eastAsia="宋体" w:cs="宋体"/>
          <w:i w:val="0"/>
          <w:iCs w:val="0"/>
          <w:caps w:val="0"/>
          <w:color w:val="0000FF"/>
          <w:spacing w:val="0"/>
          <w:sz w:val="21"/>
          <w:szCs w:val="21"/>
          <w:shd w:val="clear" w:fill="FFFFFF"/>
          <w:lang w:val="en-US" w:eastAsia="zh-CN"/>
        </w:rPr>
        <w:t>最低评标价</w:t>
      </w:r>
      <w:r>
        <w:rPr>
          <w:rFonts w:hint="eastAsia" w:ascii="宋体" w:hAnsi="宋体" w:eastAsia="宋体" w:cs="宋体"/>
          <w:i w:val="0"/>
          <w:iCs w:val="0"/>
          <w:caps w:val="0"/>
          <w:color w:val="0000FF"/>
          <w:spacing w:val="0"/>
          <w:sz w:val="21"/>
          <w:szCs w:val="21"/>
          <w:shd w:val="clear" w:fill="FFFFFF"/>
        </w:rPr>
        <w:t>法</w:t>
      </w:r>
    </w:p>
    <w:p w14:paraId="6E97AC4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both"/>
        <w:rPr>
          <w:rFonts w:hint="eastAsia" w:ascii="宋体" w:hAnsi="宋体" w:eastAsia="宋体" w:cs="宋体"/>
          <w:i w:val="0"/>
          <w:iCs w:val="0"/>
          <w:caps w:val="0"/>
          <w:color w:val="0000FF"/>
          <w:spacing w:val="0"/>
          <w:sz w:val="21"/>
          <w:szCs w:val="21"/>
        </w:rPr>
      </w:pPr>
      <w:r>
        <w:rPr>
          <w:rFonts w:hint="eastAsia" w:ascii="宋体" w:hAnsi="宋体" w:eastAsia="宋体" w:cs="宋体"/>
          <w:i w:val="0"/>
          <w:iCs w:val="0"/>
          <w:caps w:val="0"/>
          <w:color w:val="0000FF"/>
          <w:spacing w:val="0"/>
          <w:sz w:val="21"/>
          <w:szCs w:val="21"/>
          <w:shd w:val="clear" w:fill="FFFFFF"/>
        </w:rPr>
        <w:t>7.2评标标准</w:t>
      </w:r>
    </w:p>
    <w:p w14:paraId="59A435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FF"/>
          <w:spacing w:val="0"/>
          <w:sz w:val="21"/>
          <w:szCs w:val="21"/>
          <w:shd w:val="clear" w:fill="FFFFFF"/>
        </w:rPr>
      </w:pPr>
      <w:r>
        <w:rPr>
          <w:rFonts w:hint="eastAsia" w:ascii="宋体" w:hAnsi="宋体" w:eastAsia="宋体" w:cs="宋体"/>
          <w:i w:val="0"/>
          <w:iCs w:val="0"/>
          <w:caps w:val="0"/>
          <w:color w:val="0000FF"/>
          <w:spacing w:val="0"/>
          <w:sz w:val="21"/>
          <w:szCs w:val="21"/>
          <w:shd w:val="clear" w:fill="FFFFFF"/>
        </w:rPr>
        <w:t xml:space="preserve">（1）投标文件满足招标文件全部实质性要求，且投标报价最低的投标人为中标候选人。 </w:t>
      </w:r>
    </w:p>
    <w:p w14:paraId="643133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0000FF"/>
          <w:spacing w:val="0"/>
          <w:sz w:val="21"/>
          <w:szCs w:val="21"/>
          <w:shd w:val="clear" w:fill="FFFFFF"/>
        </w:rPr>
      </w:pPr>
      <w:r>
        <w:rPr>
          <w:rFonts w:hint="eastAsia" w:ascii="宋体" w:hAnsi="宋体" w:eastAsia="宋体" w:cs="宋体"/>
          <w:i w:val="0"/>
          <w:iCs w:val="0"/>
          <w:caps w:val="0"/>
          <w:color w:val="0000FF"/>
          <w:spacing w:val="0"/>
          <w:sz w:val="21"/>
          <w:szCs w:val="21"/>
          <w:shd w:val="clear" w:fill="FFFFFF"/>
        </w:rPr>
        <w:t>（2）价格扣除的规则如下：</w:t>
      </w:r>
    </w:p>
    <w:p w14:paraId="16812E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a.优先类节能产品、环境标志产品：</w:t>
      </w:r>
    </w:p>
    <w:p w14:paraId="629A26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 xml:space="preserve">a1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 </w:t>
      </w:r>
    </w:p>
    <w:p w14:paraId="7A6FD6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 xml:space="preserve">a2若节能、环境标志产品仅是构成投标产品的部件、组件或零件，则该投标产品不享受鼓励优惠政策。同一品目中各认证证书不重复计算价格扣除。强制类节能产品不享受价格扣除。 </w:t>
      </w:r>
    </w:p>
    <w:p w14:paraId="478E813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b.小型、微型企业产品等：</w:t>
      </w:r>
    </w:p>
    <w:tbl>
      <w:tblPr>
        <w:tblStyle w:val="18"/>
        <w:tblW w:w="965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0"/>
        <w:gridCol w:w="7818"/>
      </w:tblGrid>
      <w:tr w14:paraId="763D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840" w:type="dxa"/>
            <w:vAlign w:val="center"/>
          </w:tcPr>
          <w:p w14:paraId="1C3C46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评标项目</w:t>
            </w:r>
          </w:p>
        </w:tc>
        <w:tc>
          <w:tcPr>
            <w:tcW w:w="7818" w:type="dxa"/>
            <w:vAlign w:val="center"/>
          </w:tcPr>
          <w:p w14:paraId="5F12B35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评标方法</w:t>
            </w:r>
          </w:p>
        </w:tc>
      </w:tr>
      <w:tr w14:paraId="6B8A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840" w:type="dxa"/>
            <w:vAlign w:val="center"/>
          </w:tcPr>
          <w:p w14:paraId="72CAC19B">
            <w:pPr>
              <w:widowControl/>
              <w:jc w:val="lef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color w:val="auto"/>
                <w:kern w:val="0"/>
                <w:sz w:val="24"/>
                <w:lang w:bidi="ar"/>
              </w:rPr>
              <w:t>小型、微型企业，监狱企业，残疾人</w:t>
            </w:r>
          </w:p>
        </w:tc>
        <w:tc>
          <w:tcPr>
            <w:tcW w:w="7818" w:type="dxa"/>
            <w:vAlign w:val="center"/>
          </w:tcPr>
          <w:p w14:paraId="11F411EA">
            <w:pPr>
              <w:widowControl/>
              <w:jc w:val="left"/>
              <w:rPr>
                <w:rFonts w:hint="eastAsia" w:ascii="宋体" w:hAnsi="宋体" w:eastAsia="宋体" w:cs="宋体"/>
                <w:color w:val="0000FF"/>
                <w:sz w:val="24"/>
              </w:rPr>
            </w:pPr>
            <w:r>
              <w:rPr>
                <w:rFonts w:hint="eastAsia" w:ascii="宋体" w:hAnsi="宋体" w:eastAsia="宋体" w:cs="宋体"/>
                <w:color w:val="0000FF"/>
                <w:sz w:val="24"/>
              </w:rPr>
              <w:t>1、对符合《政府采购促进中小企业发展管理办法》（财库﹝2020﹞46号）规定的小、微企业报价给予 15%（工程项目为 3%）的扣除，中小企业，是指在中华人民共和国 境内依法设立，依据国务院批准的中小企业划分标准确定的 中型企业、小型企业和微型企业，但与大企业的负责人为同 一人，或者与大企业存在直接控股、管理关系的除外，投标人需提供《中小企业声明函》，并对声明的真实性负责，未提供者不给予价格扣除。</w:t>
            </w:r>
          </w:p>
          <w:p w14:paraId="483A89D7">
            <w:pPr>
              <w:widowControl/>
              <w:jc w:val="left"/>
              <w:rPr>
                <w:rFonts w:hint="eastAsia" w:ascii="宋体" w:hAnsi="宋体" w:eastAsia="宋体" w:cs="宋体"/>
                <w:color w:val="0000FF"/>
                <w:sz w:val="24"/>
              </w:rPr>
            </w:pPr>
            <w:r>
              <w:rPr>
                <w:rFonts w:hint="eastAsia" w:ascii="宋体" w:hAnsi="宋体" w:eastAsia="宋体" w:cs="宋体"/>
                <w:color w:val="0000FF"/>
                <w:sz w:val="24"/>
              </w:rPr>
              <w:t>2、大中型企业与小微企业组成联合体的采购项目，联合协议或分包意向协议约定小微企业的合同份额占到合同总金额 30%以上的，对联合体或者大中型企业的报价给予 4%（工程项目为 1%）的扣除，用扣除后的价格参加评审，属于中小企业的一方或多方需提供《中小企业声明函》，未提供者不给予价格扣除。</w:t>
            </w:r>
          </w:p>
          <w:p w14:paraId="56EE1497">
            <w:pPr>
              <w:widowControl/>
              <w:jc w:val="left"/>
              <w:rPr>
                <w:rFonts w:hint="eastAsia" w:ascii="宋体" w:hAnsi="宋体" w:eastAsia="宋体" w:cs="宋体"/>
                <w:color w:val="0000FF"/>
                <w:sz w:val="24"/>
              </w:rPr>
            </w:pPr>
            <w:r>
              <w:rPr>
                <w:rFonts w:hint="eastAsia" w:ascii="宋体" w:hAnsi="宋体" w:eastAsia="宋体" w:cs="宋体"/>
                <w:color w:val="0000FF"/>
                <w:sz w:val="24"/>
              </w:rPr>
              <w:t>3、监狱企业视同上述中小企业享受政府采购扶持政策，投标人为监狱企业的，需提供由省级以上监狱管理局、戒毒管理局（含新疆生产建设兵团）出具的属于监狱企业的证明文件复印件，原件备查，未提供者不给予价格扣除。</w:t>
            </w:r>
          </w:p>
          <w:p w14:paraId="424D262A">
            <w:pPr>
              <w:widowControl/>
              <w:jc w:val="left"/>
              <w:rPr>
                <w:rFonts w:hint="eastAsia" w:ascii="宋体" w:hAnsi="宋体" w:eastAsia="宋体" w:cs="宋体"/>
                <w:color w:val="0000FF"/>
                <w:sz w:val="24"/>
              </w:rPr>
            </w:pPr>
            <w:r>
              <w:rPr>
                <w:rFonts w:hint="eastAsia" w:ascii="宋体" w:hAnsi="宋体" w:eastAsia="宋体" w:cs="宋体"/>
                <w:color w:val="0000FF"/>
                <w:sz w:val="24"/>
              </w:rPr>
              <w:t>4、残疾人福利性单位提供本单位制造的货物、承担的工程或服务，或提供其他残疾人福利性单位制造的货物（不包括使用非残疾人福利性单位注册商标的货物），对报价给予 15%（工程项目为 3%）的扣除，投标人需提供的《残疾人福利性单位声明函》，未提供者不给予价格扣除。</w:t>
            </w:r>
          </w:p>
          <w:p w14:paraId="7C6EA405">
            <w:pPr>
              <w:widowControl/>
              <w:jc w:val="left"/>
              <w:rPr>
                <w:rFonts w:hint="eastAsia" w:ascii="宋体" w:hAnsi="宋体" w:eastAsia="宋体" w:cs="宋体"/>
                <w:i w:val="0"/>
                <w:iCs w:val="0"/>
                <w:caps w:val="0"/>
                <w:color w:val="auto"/>
                <w:spacing w:val="0"/>
                <w:sz w:val="21"/>
                <w:szCs w:val="21"/>
                <w:shd w:val="clear" w:fill="FFFFFF"/>
                <w:lang w:eastAsia="zh-CN"/>
              </w:rPr>
            </w:pPr>
            <w:r>
              <w:rPr>
                <w:rFonts w:hint="eastAsia" w:ascii="宋体" w:hAnsi="宋体" w:eastAsia="宋体" w:cs="宋体"/>
                <w:color w:val="auto"/>
                <w:sz w:val="24"/>
              </w:rPr>
              <w:t>5、</w:t>
            </w:r>
            <w:r>
              <w:rPr>
                <w:rFonts w:hint="eastAsia" w:ascii="宋体" w:hAnsi="宋体" w:eastAsia="宋体" w:cs="宋体"/>
                <w:b/>
                <w:bCs/>
                <w:color w:val="auto"/>
                <w:sz w:val="24"/>
              </w:rPr>
              <w:t>本项目为服务类采购项目，采购标的对应的中小企业划分所属行业为“其他未列明行业”</w:t>
            </w:r>
            <w:r>
              <w:rPr>
                <w:rFonts w:hint="eastAsia" w:ascii="宋体" w:hAnsi="宋体" w:eastAsia="宋体" w:cs="宋体"/>
                <w:color w:val="auto"/>
                <w:sz w:val="24"/>
              </w:rPr>
              <w:t>。</w:t>
            </w:r>
          </w:p>
        </w:tc>
      </w:tr>
    </w:tbl>
    <w:p w14:paraId="7AF99A3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c.其他：无。</w:t>
      </w:r>
    </w:p>
    <w:p w14:paraId="0BE466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※除本章第6.3条第（3）款规定情形和落实政府采购政策需进行的价格扣除情形外，不能对投标人的投标报价进行任何调整。</w:t>
      </w:r>
    </w:p>
    <w:p w14:paraId="63F9601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3）</w:t>
      </w:r>
      <w:r>
        <w:rPr>
          <w:rFonts w:hint="eastAsia" w:ascii="宋体" w:hAnsi="宋体" w:eastAsia="宋体" w:cs="宋体"/>
          <w:i w:val="0"/>
          <w:iCs w:val="0"/>
          <w:caps w:val="0"/>
          <w:color w:val="auto"/>
          <w:spacing w:val="0"/>
          <w:sz w:val="21"/>
          <w:szCs w:val="21"/>
          <w:shd w:val="clear" w:fill="FFFFFF"/>
        </w:rPr>
        <w:t xml:space="preserve">中标候选人排列规则顺序如下： </w:t>
      </w:r>
    </w:p>
    <w:p w14:paraId="02BD6C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 xml:space="preserve">a.按照评标价（即价格扣除后的投标报价）由低到高顺序排列。 </w:t>
      </w:r>
    </w:p>
    <w:p w14:paraId="156ED4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 xml:space="preserve">b.评标价相同的，按照投标报价由低到高顺序排列。 </w:t>
      </w:r>
    </w:p>
    <w:p w14:paraId="7A1E9A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c.投标报价相同的，按照技术指标优劣顺序排列。</w:t>
      </w:r>
    </w:p>
    <w:p w14:paraId="3AD5E6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8、其他规定</w:t>
      </w:r>
    </w:p>
    <w:p w14:paraId="68E4F2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8.1评标应全程保密且不得透露给任一投标人或与评标工作无关的人员。</w:t>
      </w:r>
    </w:p>
    <w:p w14:paraId="60DBB7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8.2评标将进行全程实时录音录像，录音录像资料随采购文件一并存档。</w:t>
      </w:r>
    </w:p>
    <w:p w14:paraId="3242CA7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8.3若投标人有任何试图干扰具体评标事务，影响评标委员会独立履行职责的行为，其投标无效且不予退还投标保证金。情节严重的，由财政部门列入不良行为记录。</w:t>
      </w:r>
    </w:p>
    <w:p w14:paraId="7130139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8.4其他：</w:t>
      </w:r>
    </w:p>
    <w:p w14:paraId="0BE11C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无</w:t>
      </w:r>
    </w:p>
    <w:p w14:paraId="7FF526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宋体" w:hAnsi="宋体" w:eastAsia="宋体" w:cs="宋体"/>
          <w:color w:val="auto"/>
          <w:sz w:val="21"/>
          <w:szCs w:val="21"/>
        </w:rPr>
      </w:pPr>
    </w:p>
    <w:p w14:paraId="35EC9A99">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i w:val="0"/>
          <w:iCs w:val="0"/>
          <w:caps w:val="0"/>
          <w:color w:val="auto"/>
          <w:spacing w:val="0"/>
          <w:sz w:val="39"/>
          <w:szCs w:val="39"/>
          <w:shd w:val="clear" w:fill="FFFFFF"/>
        </w:rPr>
      </w:pPr>
      <w:r>
        <w:rPr>
          <w:rFonts w:hint="eastAsia" w:ascii="宋体" w:hAnsi="宋体" w:eastAsia="宋体" w:cs="宋体"/>
          <w:b/>
          <w:bCs/>
          <w:i w:val="0"/>
          <w:iCs w:val="0"/>
          <w:caps w:val="0"/>
          <w:color w:val="auto"/>
          <w:spacing w:val="0"/>
          <w:sz w:val="39"/>
          <w:szCs w:val="39"/>
          <w:shd w:val="clear" w:fill="FFFFFF"/>
        </w:rPr>
        <w:br w:type="page"/>
      </w:r>
    </w:p>
    <w:p w14:paraId="05B7B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color w:val="auto"/>
          <w:spacing w:val="0"/>
          <w:sz w:val="39"/>
          <w:szCs w:val="39"/>
        </w:rPr>
      </w:pPr>
      <w:r>
        <w:rPr>
          <w:rFonts w:hint="eastAsia" w:ascii="宋体" w:hAnsi="宋体" w:eastAsia="宋体" w:cs="宋体"/>
          <w:b/>
          <w:bCs/>
          <w:i w:val="0"/>
          <w:iCs w:val="0"/>
          <w:caps w:val="0"/>
          <w:color w:val="auto"/>
          <w:spacing w:val="0"/>
          <w:sz w:val="39"/>
          <w:szCs w:val="39"/>
          <w:shd w:val="clear" w:fill="FFFFFF"/>
        </w:rPr>
        <w:t>第五章 招标内容及要求</w:t>
      </w:r>
    </w:p>
    <w:p w14:paraId="500C11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b/>
          <w:bCs/>
          <w:i w:val="0"/>
          <w:iCs w:val="0"/>
          <w:caps w:val="0"/>
          <w:color w:val="auto"/>
          <w:spacing w:val="0"/>
          <w:sz w:val="28"/>
          <w:szCs w:val="28"/>
          <w:shd w:val="clear" w:fill="FFFFFF"/>
        </w:rPr>
      </w:pPr>
      <w:r>
        <w:rPr>
          <w:rFonts w:hint="eastAsia" w:ascii="宋体" w:hAnsi="宋体" w:eastAsia="宋体" w:cs="宋体"/>
          <w:b/>
          <w:bCs/>
          <w:i w:val="0"/>
          <w:iCs w:val="0"/>
          <w:caps w:val="0"/>
          <w:color w:val="auto"/>
          <w:spacing w:val="0"/>
          <w:sz w:val="28"/>
          <w:szCs w:val="28"/>
          <w:shd w:val="clear" w:fill="FFFFFF"/>
        </w:rPr>
        <w:t>一、项目概况（采购标的）</w:t>
      </w:r>
    </w:p>
    <w:p w14:paraId="2CECCF7B">
      <w:pPr>
        <w:pStyle w:val="37"/>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sz w:val="22"/>
          <w:szCs w:val="22"/>
          <w:lang w:val="en-US" w:eastAsia="zh-CN"/>
        </w:rPr>
      </w:pPr>
      <w:r>
        <w:rPr>
          <w:rFonts w:hint="eastAsia"/>
          <w:color w:val="auto"/>
          <w:sz w:val="22"/>
          <w:szCs w:val="22"/>
          <w:lang w:val="en-US" w:eastAsia="zh-CN"/>
        </w:rPr>
        <w:t>1、服务地点：莆田市</w:t>
      </w:r>
    </w:p>
    <w:p w14:paraId="551790E1">
      <w:pPr>
        <w:pStyle w:val="37"/>
        <w:keepNext w:val="0"/>
        <w:keepLines w:val="0"/>
        <w:pageBreakBefore w:val="0"/>
        <w:widowControl/>
        <w:kinsoku/>
        <w:wordWrap/>
        <w:overflowPunct/>
        <w:topLinePunct w:val="0"/>
        <w:autoSpaceDE/>
        <w:autoSpaceDN/>
        <w:bidi w:val="0"/>
        <w:adjustRightInd/>
        <w:snapToGrid/>
        <w:spacing w:line="360" w:lineRule="auto"/>
        <w:ind w:firstLine="442" w:firstLineChars="200"/>
        <w:textAlignment w:val="auto"/>
        <w:rPr>
          <w:rFonts w:hint="default"/>
          <w:color w:val="auto"/>
          <w:sz w:val="21"/>
          <w:szCs w:val="21"/>
          <w:lang w:val="en-US" w:eastAsia="zh-CN"/>
        </w:rPr>
      </w:pPr>
      <w:r>
        <w:rPr>
          <w:rFonts w:hint="eastAsia"/>
          <w:b/>
          <w:bCs/>
          <w:color w:val="auto"/>
          <w:sz w:val="22"/>
          <w:szCs w:val="22"/>
          <w:lang w:val="en-US" w:eastAsia="zh-CN"/>
        </w:rPr>
        <w:t>2、服务时间：</w:t>
      </w:r>
      <w:r>
        <w:rPr>
          <w:rFonts w:hint="eastAsia"/>
          <w:color w:val="auto"/>
          <w:sz w:val="21"/>
          <w:szCs w:val="21"/>
          <w:lang w:val="en-US" w:eastAsia="zh-CN"/>
        </w:rPr>
        <w:t>合同签订后即为开始实施资产评估入账服务，直至整体项目终验合格，采购人向供应商提供资产评估申报表及相应的资料；供应商在收到单宗资产全部评估申报资料后20日内完成采购人委托的评估工作，并向采购人提供正式的《资产评估报告书》。若因不可抗力因素需延长或提前完成评估工作，采购人和供应商双方需另行协商。</w:t>
      </w:r>
    </w:p>
    <w:p w14:paraId="562483CC">
      <w:pPr>
        <w:pStyle w:val="37"/>
        <w:keepNext w:val="0"/>
        <w:keepLines w:val="0"/>
        <w:pageBreakBefore w:val="0"/>
        <w:widowControl/>
        <w:kinsoku/>
        <w:wordWrap/>
        <w:overflowPunct/>
        <w:topLinePunct w:val="0"/>
        <w:autoSpaceDE/>
        <w:autoSpaceDN/>
        <w:bidi w:val="0"/>
        <w:adjustRightInd/>
        <w:snapToGrid/>
        <w:spacing w:line="360" w:lineRule="auto"/>
        <w:ind w:firstLine="442" w:firstLineChars="200"/>
        <w:textAlignment w:val="auto"/>
        <w:rPr>
          <w:rFonts w:hint="default"/>
          <w:b/>
          <w:bCs/>
          <w:color w:val="auto"/>
          <w:sz w:val="22"/>
          <w:szCs w:val="22"/>
          <w:highlight w:val="yellow"/>
          <w:lang w:val="en-US" w:eastAsia="zh-CN"/>
        </w:rPr>
      </w:pPr>
      <w:r>
        <w:rPr>
          <w:rFonts w:hint="eastAsia"/>
          <w:b/>
          <w:bCs/>
          <w:color w:val="auto"/>
          <w:sz w:val="22"/>
          <w:szCs w:val="22"/>
          <w:lang w:val="en-US" w:eastAsia="zh-CN"/>
        </w:rPr>
        <w:t>3</w:t>
      </w:r>
      <w:r>
        <w:rPr>
          <w:rFonts w:hint="eastAsia"/>
          <w:b/>
          <w:bCs/>
          <w:color w:val="auto"/>
          <w:sz w:val="22"/>
          <w:szCs w:val="22"/>
        </w:rPr>
        <w:t>、服务</w:t>
      </w:r>
      <w:r>
        <w:rPr>
          <w:rFonts w:hint="eastAsia"/>
          <w:b/>
          <w:bCs/>
          <w:color w:val="auto"/>
          <w:sz w:val="22"/>
          <w:szCs w:val="22"/>
          <w:lang w:val="en-US" w:eastAsia="zh-CN"/>
        </w:rPr>
        <w:t>范围</w:t>
      </w:r>
      <w:r>
        <w:rPr>
          <w:rFonts w:hint="eastAsia"/>
          <w:b/>
          <w:bCs/>
          <w:color w:val="auto"/>
          <w:sz w:val="22"/>
          <w:szCs w:val="22"/>
        </w:rPr>
        <w:t>：</w:t>
      </w:r>
      <w:r>
        <w:rPr>
          <w:rFonts w:hint="eastAsia" w:ascii="宋体" w:hAnsi="宋体" w:cs="宋体"/>
          <w:color w:val="auto"/>
          <w:sz w:val="24"/>
          <w:szCs w:val="24"/>
          <w:lang w:eastAsia="zh-CN"/>
        </w:rPr>
        <w:t>莆田城市园林发展集团有限公司</w:t>
      </w:r>
      <w:r>
        <w:rPr>
          <w:rFonts w:hint="eastAsia"/>
          <w:color w:val="auto"/>
          <w:sz w:val="22"/>
          <w:szCs w:val="22"/>
          <w:lang w:eastAsia="zh-CN"/>
        </w:rPr>
        <w:t>拟</w:t>
      </w:r>
      <w:r>
        <w:rPr>
          <w:rFonts w:hint="eastAsia"/>
          <w:color w:val="auto"/>
          <w:sz w:val="22"/>
          <w:szCs w:val="22"/>
          <w:lang w:val="en-US" w:eastAsia="zh-CN"/>
        </w:rPr>
        <w:t>评估</w:t>
      </w:r>
      <w:r>
        <w:rPr>
          <w:rFonts w:hint="eastAsia"/>
          <w:color w:val="auto"/>
          <w:sz w:val="22"/>
          <w:szCs w:val="22"/>
          <w:lang w:eastAsia="zh-CN"/>
        </w:rPr>
        <w:t>的部分资产（具体以提供的资产评估申报表为准）。</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631"/>
        <w:gridCol w:w="1266"/>
        <w:gridCol w:w="4763"/>
        <w:gridCol w:w="1354"/>
      </w:tblGrid>
      <w:tr w14:paraId="434A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3D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62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名称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66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面积（㎡）</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5E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位置</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82B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备注</w:t>
            </w:r>
          </w:p>
        </w:tc>
      </w:tr>
      <w:tr w14:paraId="5058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2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40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地块一安商房821套</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EB1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76384.47</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E7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莆田市荔城区八二一北街绶溪璟悦</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AD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价值评估</w:t>
            </w:r>
          </w:p>
        </w:tc>
      </w:tr>
      <w:tr w14:paraId="1EE6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B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D6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地块一商业店面198坎</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F3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21122.97</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63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莆田市荔城区八二一北街绶溪璟悦</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1A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价值评估+租金评估</w:t>
            </w:r>
          </w:p>
        </w:tc>
      </w:tr>
      <w:tr w14:paraId="7E29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27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地块二商业店面22坎</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8D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1312.07</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DD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莆田市荔城区八二一北街书香府</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07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价值评估+租金评估</w:t>
            </w:r>
          </w:p>
        </w:tc>
      </w:tr>
      <w:tr w14:paraId="4229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1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86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地块九商业店面35坎</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50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3466.63</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2E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莆田市荔城区八二一北街棠颂和府</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3F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价值评估+租金评估</w:t>
            </w:r>
          </w:p>
        </w:tc>
      </w:tr>
      <w:tr w14:paraId="0A17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05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91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天汇售楼部及样板房</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91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1500</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17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莆田市荔城区保利天汇售楼部</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22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价值评估</w:t>
            </w:r>
          </w:p>
        </w:tc>
      </w:tr>
      <w:tr w14:paraId="2999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4B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0D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地块一地下车位</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F6A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4563个</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C4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莆田市荔城区八二一北街绶溪璟悦</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05D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价值评估</w:t>
            </w:r>
          </w:p>
        </w:tc>
      </w:tr>
      <w:tr w14:paraId="42A00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A10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469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地块二地下车位</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A54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1790个</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DF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莆田市荔城区八二一北街书香府</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1F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价值评估</w:t>
            </w:r>
          </w:p>
        </w:tc>
      </w:tr>
      <w:tr w14:paraId="59D5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83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0E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地块九地下车位</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25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74个</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0A5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莆田市荔城区八二一北街棠颂和府</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04D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价值评估</w:t>
            </w:r>
          </w:p>
        </w:tc>
      </w:tr>
      <w:tr w14:paraId="0A2B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0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D3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经营点003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8E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1D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莆田市城厢区龙桥街道延寿村178号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（绶溪公园2号出入口）</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E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价值评估</w:t>
            </w:r>
          </w:p>
        </w:tc>
      </w:tr>
      <w:tr w14:paraId="3254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C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6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经营点004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C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C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莆田市城厢区龙桥街道延寿村183号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（绶溪公园3号出入口）</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8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6547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2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经营点005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8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9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莆田市城厢区龙桥街道延寿村187号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（绶溪公园古渡一条街）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4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1099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E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F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经营点006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3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151.84</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D4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莆田市城厢区龙桥街道延寿村188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（绶溪公园古渡一条街）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E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6125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C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2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经营点007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3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26.15</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3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莆田市荔城区西天尾镇溪白村企溪282号（绶溪公园古渡一条街）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F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1BFB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3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3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经营点008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3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140.84</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6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莆田市荔城区西天尾镇溪白村企溪285号（绶溪公园古渡一条街）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4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3E55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5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4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经营点009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A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6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莆田市荔城区西天尾镇溪白村企溪285号旁（绶溪公园古渡一条街）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0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2B02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2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C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经营点010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7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28.72</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2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莆田市荔城区西天尾镇溪白村企溪287号旁（绶溪公园古渡一条街）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D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2A22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8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9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经营点011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A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112.78</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6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莆田市荔城区西天尾镇溪白村企溪287号（绶溪公园古渡一条街）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7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401A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5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E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经营点012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8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136.2</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0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莆田市荔城区西天尾镇溪白村企溪290号（绶溪公园古渡一条街）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B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316A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B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D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经营点013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5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1019</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E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莆田市荔城区交战路洞湖村七组170号（绶溪公园5号出入口）</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6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74E5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D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经营点014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F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D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莆田市荔城区拱辰街道东圳东路640号2号楼（莆田市移动总公司后）</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3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0E00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F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2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经营点015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9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2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莆田市荔城区拱辰街道东圳东路640号3号楼（荔城区镇海街道SOS儿童村附近荔枝林带）</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8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512F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C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4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经营点016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4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6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莆田市荔城区拱辰街道荔园中路665号（荔城区海峡商务中心旁）</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E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628A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1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31" w:type="dxa"/>
            <w:tcBorders>
              <w:top w:val="single" w:color="000000" w:sz="4" w:space="0"/>
              <w:left w:val="single" w:color="000000" w:sz="4" w:space="0"/>
              <w:bottom w:val="nil"/>
              <w:right w:val="single" w:color="000000" w:sz="4" w:space="0"/>
            </w:tcBorders>
            <w:shd w:val="clear" w:color="auto" w:fill="auto"/>
            <w:vAlign w:val="center"/>
          </w:tcPr>
          <w:p w14:paraId="42D7D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经营点018</w:t>
            </w:r>
          </w:p>
        </w:tc>
        <w:tc>
          <w:tcPr>
            <w:tcW w:w="1266" w:type="dxa"/>
            <w:tcBorders>
              <w:top w:val="single" w:color="000000" w:sz="4" w:space="0"/>
              <w:left w:val="single" w:color="000000" w:sz="4" w:space="0"/>
              <w:bottom w:val="nil"/>
              <w:right w:val="single" w:color="000000" w:sz="4" w:space="0"/>
            </w:tcBorders>
            <w:shd w:val="clear" w:color="auto" w:fill="auto"/>
            <w:vAlign w:val="center"/>
          </w:tcPr>
          <w:p w14:paraId="4FADF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4763" w:type="dxa"/>
            <w:tcBorders>
              <w:top w:val="single" w:color="000000" w:sz="4" w:space="0"/>
              <w:left w:val="single" w:color="000000" w:sz="4" w:space="0"/>
              <w:bottom w:val="nil"/>
              <w:right w:val="single" w:color="000000" w:sz="4" w:space="0"/>
            </w:tcBorders>
            <w:shd w:val="clear" w:color="auto" w:fill="auto"/>
            <w:vAlign w:val="center"/>
          </w:tcPr>
          <w:p w14:paraId="145D1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莆田市荔城区镇海街道北大南街358号（天九湾广场）</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A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1FCE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B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31" w:type="dxa"/>
            <w:tcBorders>
              <w:top w:val="single" w:color="000000" w:sz="4" w:space="0"/>
              <w:left w:val="single" w:color="000000" w:sz="4" w:space="0"/>
              <w:bottom w:val="nil"/>
              <w:right w:val="single" w:color="000000" w:sz="4" w:space="0"/>
            </w:tcBorders>
            <w:shd w:val="clear" w:color="auto" w:fill="auto"/>
            <w:vAlign w:val="center"/>
          </w:tcPr>
          <w:p w14:paraId="778DB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经营点021</w:t>
            </w:r>
          </w:p>
        </w:tc>
        <w:tc>
          <w:tcPr>
            <w:tcW w:w="1266" w:type="dxa"/>
            <w:tcBorders>
              <w:top w:val="single" w:color="000000" w:sz="4" w:space="0"/>
              <w:left w:val="single" w:color="000000" w:sz="4" w:space="0"/>
              <w:bottom w:val="nil"/>
              <w:right w:val="single" w:color="000000" w:sz="4" w:space="0"/>
            </w:tcBorders>
            <w:shd w:val="clear" w:color="auto" w:fill="auto"/>
            <w:vAlign w:val="center"/>
          </w:tcPr>
          <w:p w14:paraId="56DE0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763" w:type="dxa"/>
            <w:tcBorders>
              <w:top w:val="single" w:color="000000" w:sz="4" w:space="0"/>
              <w:left w:val="single" w:color="000000" w:sz="4" w:space="0"/>
              <w:bottom w:val="nil"/>
              <w:right w:val="single" w:color="000000" w:sz="4" w:space="0"/>
            </w:tcBorders>
            <w:shd w:val="clear" w:color="auto" w:fill="auto"/>
            <w:vAlign w:val="center"/>
          </w:tcPr>
          <w:p w14:paraId="31141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莆田市城厢区霞林街道荔园东路99号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（荔园东路喜盈门国际大厦旁）</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D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4F9F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9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03FDB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经营点022</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BF49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4763" w:type="dxa"/>
            <w:tcBorders>
              <w:top w:val="single" w:color="000000" w:sz="4" w:space="0"/>
              <w:left w:val="single" w:color="000000" w:sz="4" w:space="0"/>
              <w:bottom w:val="single" w:color="auto" w:sz="4" w:space="0"/>
              <w:right w:val="single" w:color="000000" w:sz="4" w:space="0"/>
            </w:tcBorders>
            <w:shd w:val="clear" w:color="auto" w:fill="auto"/>
            <w:vAlign w:val="center"/>
          </w:tcPr>
          <w:p w14:paraId="74064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莆田市荔城区西天尾镇北大村北郊116号（荔枝林带北大段）</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7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4E5D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auto" w:sz="4" w:space="0"/>
            </w:tcBorders>
            <w:shd w:val="clear" w:color="auto" w:fill="auto"/>
            <w:vAlign w:val="center"/>
          </w:tcPr>
          <w:p w14:paraId="6E94F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06A5F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经营点023</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77E6C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4763" w:type="dxa"/>
            <w:tcBorders>
              <w:top w:val="single" w:color="auto" w:sz="4" w:space="0"/>
              <w:left w:val="single" w:color="auto" w:sz="4" w:space="0"/>
              <w:bottom w:val="single" w:color="auto" w:sz="4" w:space="0"/>
              <w:right w:val="single" w:color="auto" w:sz="4" w:space="0"/>
            </w:tcBorders>
            <w:shd w:val="clear" w:color="auto" w:fill="auto"/>
            <w:vAlign w:val="center"/>
          </w:tcPr>
          <w:p w14:paraId="74AC8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莆田市城厢区龙桥街道延寿村208号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（绶溪公园启动区鹅卵石沙滩）</w:t>
            </w:r>
          </w:p>
        </w:tc>
        <w:tc>
          <w:tcPr>
            <w:tcW w:w="135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463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010B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E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31" w:type="dxa"/>
            <w:tcBorders>
              <w:top w:val="single" w:color="auto" w:sz="4" w:space="0"/>
              <w:left w:val="single" w:color="000000" w:sz="4" w:space="0"/>
              <w:bottom w:val="nil"/>
              <w:right w:val="single" w:color="000000" w:sz="4" w:space="0"/>
            </w:tcBorders>
            <w:shd w:val="clear" w:color="auto" w:fill="auto"/>
            <w:vAlign w:val="center"/>
          </w:tcPr>
          <w:p w14:paraId="08E93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经营点024</w:t>
            </w:r>
          </w:p>
        </w:tc>
        <w:tc>
          <w:tcPr>
            <w:tcW w:w="1266" w:type="dxa"/>
            <w:tcBorders>
              <w:top w:val="single" w:color="auto" w:sz="4" w:space="0"/>
              <w:left w:val="single" w:color="000000" w:sz="4" w:space="0"/>
              <w:bottom w:val="nil"/>
              <w:right w:val="single" w:color="000000" w:sz="4" w:space="0"/>
            </w:tcBorders>
            <w:shd w:val="clear" w:color="auto" w:fill="auto"/>
            <w:vAlign w:val="center"/>
          </w:tcPr>
          <w:p w14:paraId="5D047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4763" w:type="dxa"/>
            <w:tcBorders>
              <w:top w:val="single" w:color="auto" w:sz="4" w:space="0"/>
              <w:left w:val="single" w:color="000000" w:sz="4" w:space="0"/>
              <w:bottom w:val="nil"/>
              <w:right w:val="single" w:color="000000" w:sz="4" w:space="0"/>
            </w:tcBorders>
            <w:shd w:val="clear" w:color="auto" w:fill="auto"/>
            <w:vAlign w:val="center"/>
          </w:tcPr>
          <w:p w14:paraId="3C5EB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莆田市城厢区龙桥街道延寿村延寿209号（绶溪公园启动区民俗馆旁）</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3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4327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B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31" w:type="dxa"/>
            <w:tcBorders>
              <w:top w:val="single" w:color="000000" w:sz="4" w:space="0"/>
              <w:left w:val="single" w:color="000000" w:sz="4" w:space="0"/>
              <w:bottom w:val="nil"/>
              <w:right w:val="single" w:color="000000" w:sz="4" w:space="0"/>
            </w:tcBorders>
            <w:shd w:val="clear" w:color="auto" w:fill="auto"/>
            <w:vAlign w:val="center"/>
          </w:tcPr>
          <w:p w14:paraId="7EF07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经营点026</w:t>
            </w:r>
          </w:p>
        </w:tc>
        <w:tc>
          <w:tcPr>
            <w:tcW w:w="1266" w:type="dxa"/>
            <w:tcBorders>
              <w:top w:val="single" w:color="000000" w:sz="4" w:space="0"/>
              <w:left w:val="single" w:color="000000" w:sz="4" w:space="0"/>
              <w:bottom w:val="nil"/>
              <w:right w:val="single" w:color="000000" w:sz="4" w:space="0"/>
            </w:tcBorders>
            <w:shd w:val="clear" w:color="auto" w:fill="auto"/>
            <w:vAlign w:val="center"/>
          </w:tcPr>
          <w:p w14:paraId="04825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763" w:type="dxa"/>
            <w:tcBorders>
              <w:top w:val="single" w:color="000000" w:sz="4" w:space="0"/>
              <w:left w:val="single" w:color="000000" w:sz="4" w:space="0"/>
              <w:bottom w:val="nil"/>
              <w:right w:val="single" w:color="000000" w:sz="4" w:space="0"/>
            </w:tcBorders>
            <w:shd w:val="clear" w:color="auto" w:fill="auto"/>
            <w:vAlign w:val="center"/>
          </w:tcPr>
          <w:p w14:paraId="5B443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莆田市荔城区交战路洞湖村七组170号（绶溪公园5号出入口）</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0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6656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B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226E6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玉湖管理房</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402F9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4763" w:type="dxa"/>
            <w:tcBorders>
              <w:top w:val="single" w:color="000000" w:sz="4" w:space="0"/>
              <w:left w:val="single" w:color="000000" w:sz="4" w:space="0"/>
              <w:bottom w:val="single" w:color="auto" w:sz="4" w:space="0"/>
              <w:right w:val="single" w:color="000000" w:sz="4" w:space="0"/>
            </w:tcBorders>
            <w:shd w:val="clear" w:color="auto" w:fill="auto"/>
            <w:vAlign w:val="center"/>
          </w:tcPr>
          <w:p w14:paraId="06F9B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莆田市荔城区镇海街道荔园南路1030号（玉湖公园）</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B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05BB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auto" w:sz="4" w:space="0"/>
            </w:tcBorders>
            <w:shd w:val="clear" w:color="auto" w:fill="auto"/>
            <w:vAlign w:val="center"/>
          </w:tcPr>
          <w:p w14:paraId="44395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73BA3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2号码头管理房</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42920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4763" w:type="dxa"/>
            <w:tcBorders>
              <w:top w:val="single" w:color="auto" w:sz="4" w:space="0"/>
              <w:left w:val="single" w:color="auto" w:sz="4" w:space="0"/>
              <w:bottom w:val="single" w:color="auto" w:sz="4" w:space="0"/>
              <w:right w:val="single" w:color="auto" w:sz="4" w:space="0"/>
            </w:tcBorders>
            <w:shd w:val="clear" w:color="auto" w:fill="auto"/>
            <w:vAlign w:val="center"/>
          </w:tcPr>
          <w:p w14:paraId="6673A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莆田市城厢区绶溪公园2号码头旁</w:t>
            </w:r>
          </w:p>
        </w:tc>
        <w:tc>
          <w:tcPr>
            <w:tcW w:w="135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753C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5CDD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1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631" w:type="dxa"/>
            <w:tcBorders>
              <w:top w:val="single" w:color="auto" w:sz="4" w:space="0"/>
              <w:left w:val="single" w:color="000000" w:sz="4" w:space="0"/>
              <w:bottom w:val="nil"/>
              <w:right w:val="single" w:color="000000" w:sz="4" w:space="0"/>
            </w:tcBorders>
            <w:shd w:val="clear" w:color="auto" w:fill="auto"/>
            <w:vAlign w:val="center"/>
          </w:tcPr>
          <w:p w14:paraId="720FE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游客咨询点</w:t>
            </w:r>
          </w:p>
        </w:tc>
        <w:tc>
          <w:tcPr>
            <w:tcW w:w="1266" w:type="dxa"/>
            <w:tcBorders>
              <w:top w:val="single" w:color="auto" w:sz="4" w:space="0"/>
              <w:left w:val="single" w:color="000000" w:sz="4" w:space="0"/>
              <w:bottom w:val="nil"/>
              <w:right w:val="single" w:color="000000" w:sz="4" w:space="0"/>
            </w:tcBorders>
            <w:shd w:val="clear" w:color="auto" w:fill="auto"/>
            <w:vAlign w:val="center"/>
          </w:tcPr>
          <w:p w14:paraId="19519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123.4</w:t>
            </w:r>
          </w:p>
        </w:tc>
        <w:tc>
          <w:tcPr>
            <w:tcW w:w="4763" w:type="dxa"/>
            <w:tcBorders>
              <w:top w:val="single" w:color="auto" w:sz="4" w:space="0"/>
              <w:left w:val="single" w:color="000000" w:sz="4" w:space="0"/>
              <w:bottom w:val="nil"/>
              <w:right w:val="single" w:color="000000" w:sz="4" w:space="0"/>
            </w:tcBorders>
            <w:shd w:val="clear" w:color="auto" w:fill="auto"/>
            <w:vAlign w:val="center"/>
          </w:tcPr>
          <w:p w14:paraId="0BB9C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莆田市城厢区绶溪公园2号口附近</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C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4C31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0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631" w:type="dxa"/>
            <w:tcBorders>
              <w:top w:val="single" w:color="000000" w:sz="4" w:space="0"/>
              <w:left w:val="single" w:color="000000" w:sz="4" w:space="0"/>
              <w:bottom w:val="nil"/>
              <w:right w:val="single" w:color="000000" w:sz="4" w:space="0"/>
            </w:tcBorders>
            <w:shd w:val="clear" w:color="auto" w:fill="auto"/>
            <w:vAlign w:val="center"/>
          </w:tcPr>
          <w:p w14:paraId="25363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绶溪茶坊</w:t>
            </w:r>
          </w:p>
        </w:tc>
        <w:tc>
          <w:tcPr>
            <w:tcW w:w="1266" w:type="dxa"/>
            <w:tcBorders>
              <w:top w:val="single" w:color="000000" w:sz="4" w:space="0"/>
              <w:left w:val="single" w:color="000000" w:sz="4" w:space="0"/>
              <w:bottom w:val="nil"/>
              <w:right w:val="single" w:color="000000" w:sz="4" w:space="0"/>
            </w:tcBorders>
            <w:shd w:val="clear" w:color="auto" w:fill="auto"/>
            <w:vAlign w:val="center"/>
          </w:tcPr>
          <w:p w14:paraId="2D2E6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4763" w:type="dxa"/>
            <w:tcBorders>
              <w:top w:val="single" w:color="000000" w:sz="4" w:space="0"/>
              <w:left w:val="single" w:color="000000" w:sz="4" w:space="0"/>
              <w:bottom w:val="nil"/>
              <w:right w:val="single" w:color="000000" w:sz="4" w:space="0"/>
            </w:tcBorders>
            <w:shd w:val="clear" w:color="auto" w:fill="auto"/>
            <w:vAlign w:val="center"/>
          </w:tcPr>
          <w:p w14:paraId="148DC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莆田市荔城区绶溪公园6号口附近</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2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25A1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8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631" w:type="dxa"/>
            <w:tcBorders>
              <w:top w:val="single" w:color="000000" w:sz="4" w:space="0"/>
              <w:left w:val="single" w:color="000000" w:sz="4" w:space="0"/>
              <w:bottom w:val="nil"/>
              <w:right w:val="single" w:color="000000" w:sz="4" w:space="0"/>
            </w:tcBorders>
            <w:shd w:val="clear" w:color="auto" w:fill="auto"/>
            <w:vAlign w:val="center"/>
          </w:tcPr>
          <w:p w14:paraId="6F972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6号口游客服务中心</w:t>
            </w:r>
          </w:p>
        </w:tc>
        <w:tc>
          <w:tcPr>
            <w:tcW w:w="1266" w:type="dxa"/>
            <w:tcBorders>
              <w:top w:val="single" w:color="000000" w:sz="4" w:space="0"/>
              <w:left w:val="single" w:color="000000" w:sz="4" w:space="0"/>
              <w:bottom w:val="nil"/>
              <w:right w:val="single" w:color="000000" w:sz="4" w:space="0"/>
            </w:tcBorders>
            <w:shd w:val="clear" w:color="auto" w:fill="auto"/>
            <w:vAlign w:val="center"/>
          </w:tcPr>
          <w:p w14:paraId="1547E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484.14</w:t>
            </w:r>
          </w:p>
        </w:tc>
        <w:tc>
          <w:tcPr>
            <w:tcW w:w="4763" w:type="dxa"/>
            <w:tcBorders>
              <w:top w:val="single" w:color="000000" w:sz="4" w:space="0"/>
              <w:left w:val="single" w:color="000000" w:sz="4" w:space="0"/>
              <w:bottom w:val="nil"/>
              <w:right w:val="single" w:color="000000" w:sz="4" w:space="0"/>
            </w:tcBorders>
            <w:shd w:val="clear" w:color="auto" w:fill="auto"/>
            <w:vAlign w:val="center"/>
          </w:tcPr>
          <w:p w14:paraId="10F19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莆田市荔城区绶溪公园6号口附近</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F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320C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3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631" w:type="dxa"/>
            <w:tcBorders>
              <w:top w:val="single" w:color="000000" w:sz="4" w:space="0"/>
              <w:left w:val="single" w:color="000000" w:sz="4" w:space="0"/>
              <w:bottom w:val="nil"/>
              <w:right w:val="single" w:color="000000" w:sz="4" w:space="0"/>
            </w:tcBorders>
            <w:shd w:val="clear" w:color="auto" w:fill="auto"/>
            <w:vAlign w:val="center"/>
          </w:tcPr>
          <w:p w14:paraId="56407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状元阁</w:t>
            </w:r>
          </w:p>
        </w:tc>
        <w:tc>
          <w:tcPr>
            <w:tcW w:w="1266" w:type="dxa"/>
            <w:tcBorders>
              <w:top w:val="single" w:color="000000" w:sz="4" w:space="0"/>
              <w:left w:val="single" w:color="000000" w:sz="4" w:space="0"/>
              <w:bottom w:val="nil"/>
              <w:right w:val="single" w:color="000000" w:sz="4" w:space="0"/>
            </w:tcBorders>
            <w:shd w:val="clear" w:color="auto" w:fill="auto"/>
            <w:vAlign w:val="center"/>
          </w:tcPr>
          <w:p w14:paraId="480B5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2742</w:t>
            </w:r>
          </w:p>
        </w:tc>
        <w:tc>
          <w:tcPr>
            <w:tcW w:w="4763" w:type="dxa"/>
            <w:tcBorders>
              <w:top w:val="single" w:color="000000" w:sz="4" w:space="0"/>
              <w:left w:val="single" w:color="000000" w:sz="4" w:space="0"/>
              <w:bottom w:val="nil"/>
              <w:right w:val="single" w:color="000000" w:sz="4" w:space="0"/>
            </w:tcBorders>
            <w:shd w:val="clear" w:color="auto" w:fill="auto"/>
            <w:vAlign w:val="center"/>
          </w:tcPr>
          <w:p w14:paraId="6BB92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莆田市荔城区绶溪公园6号出入口</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D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4B5E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AEC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w:t>
            </w:r>
          </w:p>
        </w:tc>
        <w:tc>
          <w:tcPr>
            <w:tcW w:w="1631" w:type="dxa"/>
            <w:tcBorders>
              <w:top w:val="single" w:color="000000" w:sz="4" w:space="0"/>
              <w:left w:val="single" w:color="000000" w:sz="4" w:space="0"/>
              <w:bottom w:val="nil"/>
              <w:right w:val="single" w:color="000000" w:sz="4" w:space="0"/>
            </w:tcBorders>
            <w:shd w:val="clear" w:color="auto" w:fill="auto"/>
            <w:vAlign w:val="center"/>
          </w:tcPr>
          <w:p w14:paraId="1B04A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刘克庄陈列馆</w:t>
            </w:r>
          </w:p>
        </w:tc>
        <w:tc>
          <w:tcPr>
            <w:tcW w:w="1266" w:type="dxa"/>
            <w:tcBorders>
              <w:top w:val="single" w:color="000000" w:sz="4" w:space="0"/>
              <w:left w:val="single" w:color="000000" w:sz="4" w:space="0"/>
              <w:bottom w:val="nil"/>
              <w:right w:val="single" w:color="000000" w:sz="4" w:space="0"/>
            </w:tcBorders>
            <w:shd w:val="clear" w:color="auto" w:fill="auto"/>
            <w:vAlign w:val="center"/>
          </w:tcPr>
          <w:p w14:paraId="465D9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763" w:type="dxa"/>
            <w:tcBorders>
              <w:top w:val="single" w:color="000000" w:sz="4" w:space="0"/>
              <w:left w:val="single" w:color="000000" w:sz="4" w:space="0"/>
              <w:bottom w:val="nil"/>
              <w:right w:val="single" w:color="000000" w:sz="4" w:space="0"/>
            </w:tcBorders>
            <w:shd w:val="clear" w:color="auto" w:fill="auto"/>
            <w:vAlign w:val="center"/>
          </w:tcPr>
          <w:p w14:paraId="7C753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莆田市荔城区绶溪公园5号口附近</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B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6812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BA4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1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515E2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民俗展馆</w:t>
            </w:r>
          </w:p>
        </w:tc>
        <w:tc>
          <w:tcPr>
            <w:tcW w:w="12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318A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509</w:t>
            </w:r>
          </w:p>
        </w:tc>
        <w:tc>
          <w:tcPr>
            <w:tcW w:w="4763" w:type="dxa"/>
            <w:tcBorders>
              <w:top w:val="single" w:color="000000" w:sz="4" w:space="0"/>
              <w:left w:val="single" w:color="000000" w:sz="4" w:space="0"/>
              <w:bottom w:val="single" w:color="auto" w:sz="4" w:space="0"/>
              <w:right w:val="single" w:color="000000" w:sz="4" w:space="0"/>
            </w:tcBorders>
            <w:shd w:val="clear" w:color="auto" w:fill="auto"/>
            <w:vAlign w:val="center"/>
          </w:tcPr>
          <w:p w14:paraId="5773F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莆田市城厢区绶溪公园6号出入口</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8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25E2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auto" w:sz="4" w:space="0"/>
            </w:tcBorders>
            <w:shd w:val="clear" w:color="auto" w:fill="auto"/>
            <w:vAlign w:val="center"/>
          </w:tcPr>
          <w:p w14:paraId="308CE49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37</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3AC2D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刘克庄纪念馆</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04D05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763" w:type="dxa"/>
            <w:tcBorders>
              <w:top w:val="single" w:color="auto" w:sz="4" w:space="0"/>
              <w:left w:val="single" w:color="auto" w:sz="4" w:space="0"/>
              <w:bottom w:val="single" w:color="auto" w:sz="4" w:space="0"/>
              <w:right w:val="single" w:color="auto" w:sz="4" w:space="0"/>
            </w:tcBorders>
            <w:shd w:val="clear" w:color="auto" w:fill="auto"/>
            <w:vAlign w:val="center"/>
          </w:tcPr>
          <w:p w14:paraId="61F7E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莆田市荔城区绶溪公园6号出入口</w:t>
            </w:r>
          </w:p>
        </w:tc>
        <w:tc>
          <w:tcPr>
            <w:tcW w:w="135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E666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7EF8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27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w:t>
            </w:r>
          </w:p>
        </w:tc>
        <w:tc>
          <w:tcPr>
            <w:tcW w:w="1631" w:type="dxa"/>
            <w:tcBorders>
              <w:top w:val="single" w:color="auto" w:sz="4" w:space="0"/>
              <w:left w:val="single" w:color="000000" w:sz="4" w:space="0"/>
              <w:bottom w:val="single" w:color="auto" w:sz="4" w:space="0"/>
              <w:right w:val="single" w:color="000000" w:sz="4" w:space="0"/>
            </w:tcBorders>
            <w:shd w:val="clear" w:color="auto" w:fill="auto"/>
            <w:vAlign w:val="center"/>
          </w:tcPr>
          <w:p w14:paraId="67A22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沐晖堂（红色馆）</w:t>
            </w:r>
          </w:p>
        </w:tc>
        <w:tc>
          <w:tcPr>
            <w:tcW w:w="1266" w:type="dxa"/>
            <w:tcBorders>
              <w:top w:val="single" w:color="auto" w:sz="4" w:space="0"/>
              <w:left w:val="single" w:color="000000" w:sz="4" w:space="0"/>
              <w:bottom w:val="single" w:color="auto" w:sz="4" w:space="0"/>
              <w:right w:val="single" w:color="000000" w:sz="4" w:space="0"/>
            </w:tcBorders>
            <w:shd w:val="clear" w:color="auto" w:fill="auto"/>
            <w:vAlign w:val="center"/>
          </w:tcPr>
          <w:p w14:paraId="5027D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4763" w:type="dxa"/>
            <w:tcBorders>
              <w:top w:val="single" w:color="auto" w:sz="4" w:space="0"/>
              <w:left w:val="single" w:color="000000" w:sz="4" w:space="0"/>
              <w:bottom w:val="single" w:color="auto" w:sz="4" w:space="0"/>
              <w:right w:val="single" w:color="000000" w:sz="4" w:space="0"/>
            </w:tcBorders>
            <w:shd w:val="clear" w:color="auto" w:fill="auto"/>
            <w:vAlign w:val="center"/>
          </w:tcPr>
          <w:p w14:paraId="25D69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莆田市荔城区绶溪公园6号出入口</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8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4994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auto" w:sz="4" w:space="0"/>
            </w:tcBorders>
            <w:shd w:val="clear" w:color="auto" w:fill="auto"/>
            <w:vAlign w:val="center"/>
          </w:tcPr>
          <w:p w14:paraId="4EC9F81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39</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49EC6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琴思苑（琴馆)</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872C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4763" w:type="dxa"/>
            <w:tcBorders>
              <w:top w:val="single" w:color="auto" w:sz="4" w:space="0"/>
              <w:left w:val="single" w:color="auto" w:sz="4" w:space="0"/>
              <w:bottom w:val="single" w:color="auto" w:sz="4" w:space="0"/>
              <w:right w:val="single" w:color="auto" w:sz="4" w:space="0"/>
            </w:tcBorders>
            <w:shd w:val="clear" w:color="auto" w:fill="auto"/>
            <w:vAlign w:val="center"/>
          </w:tcPr>
          <w:p w14:paraId="79835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莆田市荔城区绶溪公园6号出入口</w:t>
            </w:r>
          </w:p>
        </w:tc>
        <w:tc>
          <w:tcPr>
            <w:tcW w:w="135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D46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1F83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auto" w:sz="4" w:space="0"/>
            </w:tcBorders>
            <w:shd w:val="clear" w:color="auto" w:fill="auto"/>
            <w:vAlign w:val="center"/>
          </w:tcPr>
          <w:p w14:paraId="0AC2928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w:t>
            </w:r>
          </w:p>
        </w:tc>
        <w:tc>
          <w:tcPr>
            <w:tcW w:w="1631" w:type="dxa"/>
            <w:tcBorders>
              <w:top w:val="single" w:color="auto" w:sz="4" w:space="0"/>
              <w:left w:val="single" w:color="auto" w:sz="4" w:space="0"/>
              <w:bottom w:val="single" w:color="auto" w:sz="4" w:space="0"/>
              <w:right w:val="single" w:color="auto" w:sz="4" w:space="0"/>
            </w:tcBorders>
            <w:shd w:val="clear" w:color="auto" w:fill="auto"/>
            <w:vAlign w:val="center"/>
          </w:tcPr>
          <w:p w14:paraId="2D54C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棋韵斋（棋馆)</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027D9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4763" w:type="dxa"/>
            <w:tcBorders>
              <w:top w:val="single" w:color="auto" w:sz="4" w:space="0"/>
              <w:left w:val="single" w:color="auto" w:sz="4" w:space="0"/>
              <w:bottom w:val="single" w:color="auto" w:sz="4" w:space="0"/>
              <w:right w:val="single" w:color="auto" w:sz="4" w:space="0"/>
            </w:tcBorders>
            <w:shd w:val="clear" w:color="auto" w:fill="auto"/>
            <w:vAlign w:val="center"/>
          </w:tcPr>
          <w:p w14:paraId="047A4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莆田市荔城区绶溪公园6号出入口</w:t>
            </w:r>
          </w:p>
        </w:tc>
        <w:tc>
          <w:tcPr>
            <w:tcW w:w="135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03B8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0D5F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4BC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w:t>
            </w:r>
          </w:p>
        </w:tc>
        <w:tc>
          <w:tcPr>
            <w:tcW w:w="1631" w:type="dxa"/>
            <w:tcBorders>
              <w:top w:val="single" w:color="auto" w:sz="4" w:space="0"/>
              <w:left w:val="single" w:color="000000" w:sz="4" w:space="0"/>
              <w:bottom w:val="nil"/>
              <w:right w:val="single" w:color="000000" w:sz="4" w:space="0"/>
            </w:tcBorders>
            <w:shd w:val="clear" w:color="auto" w:fill="auto"/>
            <w:vAlign w:val="center"/>
          </w:tcPr>
          <w:p w14:paraId="1FEF7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书香馆（书馆）</w:t>
            </w:r>
          </w:p>
        </w:tc>
        <w:tc>
          <w:tcPr>
            <w:tcW w:w="1266" w:type="dxa"/>
            <w:tcBorders>
              <w:top w:val="single" w:color="auto" w:sz="4" w:space="0"/>
              <w:left w:val="single" w:color="000000" w:sz="4" w:space="0"/>
              <w:bottom w:val="nil"/>
              <w:right w:val="single" w:color="000000" w:sz="4" w:space="0"/>
            </w:tcBorders>
            <w:shd w:val="clear" w:color="auto" w:fill="auto"/>
            <w:vAlign w:val="center"/>
          </w:tcPr>
          <w:p w14:paraId="4D0ED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4763" w:type="dxa"/>
            <w:tcBorders>
              <w:top w:val="single" w:color="auto" w:sz="4" w:space="0"/>
              <w:left w:val="single" w:color="000000" w:sz="4" w:space="0"/>
              <w:bottom w:val="nil"/>
              <w:right w:val="single" w:color="000000" w:sz="4" w:space="0"/>
            </w:tcBorders>
            <w:shd w:val="clear" w:color="auto" w:fill="auto"/>
            <w:vAlign w:val="center"/>
          </w:tcPr>
          <w:p w14:paraId="76F19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莆田市荔城区绶溪公园6号出入口</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3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05E2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F9B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w:t>
            </w:r>
          </w:p>
        </w:tc>
        <w:tc>
          <w:tcPr>
            <w:tcW w:w="1631" w:type="dxa"/>
            <w:tcBorders>
              <w:top w:val="single" w:color="000000" w:sz="4" w:space="0"/>
              <w:left w:val="single" w:color="000000" w:sz="4" w:space="0"/>
              <w:bottom w:val="nil"/>
              <w:right w:val="single" w:color="000000" w:sz="4" w:space="0"/>
            </w:tcBorders>
            <w:shd w:val="clear" w:color="auto" w:fill="auto"/>
            <w:vAlign w:val="center"/>
          </w:tcPr>
          <w:p w14:paraId="7BD53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翰墨轩（画馆）</w:t>
            </w:r>
          </w:p>
        </w:tc>
        <w:tc>
          <w:tcPr>
            <w:tcW w:w="1266" w:type="dxa"/>
            <w:tcBorders>
              <w:top w:val="single" w:color="000000" w:sz="4" w:space="0"/>
              <w:left w:val="single" w:color="000000" w:sz="4" w:space="0"/>
              <w:bottom w:val="nil"/>
              <w:right w:val="single" w:color="000000" w:sz="4" w:space="0"/>
            </w:tcBorders>
            <w:shd w:val="clear" w:color="auto" w:fill="auto"/>
            <w:vAlign w:val="center"/>
          </w:tcPr>
          <w:p w14:paraId="24751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4763" w:type="dxa"/>
            <w:tcBorders>
              <w:top w:val="single" w:color="000000" w:sz="4" w:space="0"/>
              <w:left w:val="single" w:color="000000" w:sz="4" w:space="0"/>
              <w:bottom w:val="nil"/>
              <w:right w:val="single" w:color="000000" w:sz="4" w:space="0"/>
            </w:tcBorders>
            <w:shd w:val="clear" w:color="auto" w:fill="auto"/>
            <w:vAlign w:val="center"/>
          </w:tcPr>
          <w:p w14:paraId="6F970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莆田市荔城区绶溪公园6号出入口</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E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4F6E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F13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43</w:t>
            </w:r>
          </w:p>
        </w:tc>
        <w:tc>
          <w:tcPr>
            <w:tcW w:w="1631" w:type="dxa"/>
            <w:tcBorders>
              <w:top w:val="single" w:color="000000" w:sz="4" w:space="0"/>
              <w:left w:val="single" w:color="000000" w:sz="4" w:space="0"/>
              <w:bottom w:val="nil"/>
              <w:right w:val="single" w:color="000000" w:sz="4" w:space="0"/>
            </w:tcBorders>
            <w:shd w:val="clear" w:color="auto" w:fill="auto"/>
            <w:vAlign w:val="center"/>
          </w:tcPr>
          <w:p w14:paraId="6C111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精神文明馆</w:t>
            </w:r>
          </w:p>
        </w:tc>
        <w:tc>
          <w:tcPr>
            <w:tcW w:w="1266" w:type="dxa"/>
            <w:tcBorders>
              <w:top w:val="single" w:color="000000" w:sz="4" w:space="0"/>
              <w:left w:val="single" w:color="000000" w:sz="4" w:space="0"/>
              <w:bottom w:val="nil"/>
              <w:right w:val="single" w:color="000000" w:sz="4" w:space="0"/>
            </w:tcBorders>
            <w:shd w:val="clear" w:color="auto" w:fill="auto"/>
            <w:vAlign w:val="center"/>
          </w:tcPr>
          <w:p w14:paraId="3902A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4763" w:type="dxa"/>
            <w:tcBorders>
              <w:top w:val="single" w:color="000000" w:sz="4" w:space="0"/>
              <w:left w:val="single" w:color="000000" w:sz="4" w:space="0"/>
              <w:bottom w:val="nil"/>
              <w:right w:val="single" w:color="000000" w:sz="4" w:space="0"/>
            </w:tcBorders>
            <w:shd w:val="clear" w:color="auto" w:fill="auto"/>
            <w:vAlign w:val="center"/>
          </w:tcPr>
          <w:p w14:paraId="3693B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莆田市荔城区绶溪公园6号出入口</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8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价值评估</w:t>
            </w:r>
          </w:p>
        </w:tc>
      </w:tr>
      <w:tr w14:paraId="0213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12B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备注：以上资产项目可能存在变动，具体评估的资产以园林集团实际需求为准。</w:t>
            </w:r>
          </w:p>
        </w:tc>
      </w:tr>
    </w:tbl>
    <w:p w14:paraId="0A308B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lang w:val="en-US" w:eastAsia="zh-CN"/>
        </w:rPr>
      </w:pPr>
      <w:r>
        <w:rPr>
          <w:rFonts w:hint="eastAsia"/>
          <w:lang w:val="en-US" w:eastAsia="zh-CN"/>
        </w:rPr>
        <w:t>（二）报价要求</w:t>
      </w:r>
    </w:p>
    <w:p w14:paraId="7A68E8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lang w:val="en-US" w:eastAsia="zh-Hans"/>
        </w:rPr>
      </w:pPr>
      <w:r>
        <w:rPr>
          <w:rFonts w:hint="eastAsia"/>
          <w:lang w:val="en-US" w:eastAsia="zh-CN"/>
        </w:rPr>
        <w:t>1.</w:t>
      </w:r>
      <w:r>
        <w:rPr>
          <w:rFonts w:hint="eastAsia"/>
        </w:rPr>
        <w:t>投标人按合同包投标，对同一合同包内所有品目号内容投标时必须完整。评标与授标以合同包为单位</w:t>
      </w:r>
      <w:r>
        <w:rPr>
          <w:rFonts w:hint="eastAsia"/>
          <w:lang w:val="en-US" w:eastAsia="zh-Hans"/>
        </w:rPr>
        <w:t>。</w:t>
      </w:r>
    </w:p>
    <w:p w14:paraId="68E076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lang w:eastAsia="zh-CN"/>
        </w:rPr>
      </w:pPr>
      <w:r>
        <w:rPr>
          <w:rFonts w:hint="eastAsia"/>
          <w:lang w:val="en-US" w:eastAsia="zh-CN"/>
        </w:rPr>
        <w:t>2.</w:t>
      </w:r>
      <w:r>
        <w:rPr>
          <w:rFonts w:hint="eastAsia"/>
          <w:lang w:eastAsia="zh-CN"/>
        </w:rPr>
        <w:t>供应商</w:t>
      </w:r>
      <w:r>
        <w:rPr>
          <w:rFonts w:hint="eastAsia"/>
        </w:rPr>
        <w:t>报价应包含本项服务所涉及的有关项目费用进行报价，投标报价应包括本项目需求中所发生的一切费用，包括：专项调查、报告编制、交通、食宿、招标代理服务费、备品备件、专用工具、特殊工具、验收、培训、税金等一切费用。</w:t>
      </w:r>
      <w:r>
        <w:rPr>
          <w:rFonts w:hint="eastAsia"/>
          <w:lang w:eastAsia="zh-CN"/>
        </w:rPr>
        <w:t>供应商</w:t>
      </w:r>
      <w:r>
        <w:rPr>
          <w:rFonts w:hint="eastAsia"/>
        </w:rPr>
        <w:t>应充分考虑现场情况、项目清单再进行报价。</w:t>
      </w:r>
    </w:p>
    <w:p w14:paraId="2FCB85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lang w:val="en-US" w:eastAsia="zh-CN"/>
        </w:rPr>
      </w:pPr>
      <w:r>
        <w:rPr>
          <w:rFonts w:hint="eastAsia"/>
          <w:lang w:val="en-US" w:eastAsia="zh-CN"/>
        </w:rPr>
        <w:t>3.本合同包设有总价最高限价，总价最高限价为</w:t>
      </w:r>
      <w:r>
        <w:rPr>
          <w:rFonts w:hint="eastAsia"/>
          <w:color w:val="auto"/>
          <w:lang w:val="en-US" w:eastAsia="zh-CN"/>
        </w:rPr>
        <w:t>24万元，超</w:t>
      </w:r>
      <w:r>
        <w:rPr>
          <w:rFonts w:hint="eastAsia"/>
          <w:lang w:val="en-US" w:eastAsia="zh-CN"/>
        </w:rPr>
        <w:t>过总价最高限价的报价无效。</w:t>
      </w:r>
    </w:p>
    <w:p w14:paraId="02EED7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lang w:val="en-US" w:eastAsia="zh-CN"/>
        </w:rPr>
      </w:pPr>
      <w:r>
        <w:rPr>
          <w:rFonts w:hint="eastAsia"/>
          <w:lang w:val="en-US" w:eastAsia="zh-CN"/>
        </w:rPr>
        <w:t>4.供应商的报价应包含单价和总价。报价清单必须详细，包含名称、面积、地址、价值评估价格、租金评估价格等信息。否则由此所产生的一切后果由供应商承担。</w:t>
      </w:r>
    </w:p>
    <w:p w14:paraId="75FE0E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lang w:val="en-US" w:eastAsia="zh-CN"/>
        </w:rPr>
      </w:pPr>
      <w:r>
        <w:rPr>
          <w:rFonts w:hint="eastAsia"/>
          <w:lang w:val="en-US" w:eastAsia="zh-CN"/>
        </w:rPr>
        <w:t>5.支付方式</w:t>
      </w:r>
    </w:p>
    <w:p w14:paraId="4164FB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rPr>
      </w:pPr>
      <w:r>
        <w:rPr>
          <w:rFonts w:hint="eastAsia"/>
          <w:lang w:val="en-US" w:eastAsia="zh-CN"/>
        </w:rPr>
        <w:t>5.1</w:t>
      </w:r>
      <w:r>
        <w:rPr>
          <w:rFonts w:hint="eastAsia"/>
        </w:rPr>
        <w:t>费用支付节点：本次</w:t>
      </w:r>
      <w:r>
        <w:rPr>
          <w:rFonts w:hint="eastAsia"/>
          <w:lang w:eastAsia="zh-CN"/>
        </w:rPr>
        <w:t>资产</w:t>
      </w:r>
      <w:r>
        <w:rPr>
          <w:rFonts w:hint="eastAsia"/>
        </w:rPr>
        <w:t>评估项目，</w:t>
      </w:r>
      <w:r>
        <w:rPr>
          <w:rFonts w:hint="eastAsia"/>
          <w:lang w:val="en-US" w:eastAsia="zh-CN"/>
        </w:rPr>
        <w:t>采购人</w:t>
      </w:r>
      <w:r>
        <w:rPr>
          <w:rFonts w:hint="eastAsia"/>
        </w:rPr>
        <w:t>将依据</w:t>
      </w:r>
      <w:r>
        <w:rPr>
          <w:rFonts w:hint="eastAsia"/>
          <w:lang w:val="en-US" w:eastAsia="zh-CN"/>
        </w:rPr>
        <w:t>供应商</w:t>
      </w:r>
      <w:r>
        <w:rPr>
          <w:rFonts w:hint="eastAsia"/>
        </w:rPr>
        <w:t>完成的阶段性评估任务，分批支付评估费用。</w:t>
      </w:r>
      <w:r>
        <w:rPr>
          <w:rFonts w:hint="eastAsia"/>
          <w:lang w:val="en-US" w:eastAsia="zh-CN"/>
        </w:rPr>
        <w:t>每月结算一次，采购人、供应商双方应在次月10日前完成上月评估工作对账结算；</w:t>
      </w:r>
      <w:r>
        <w:rPr>
          <w:rFonts w:hint="eastAsia"/>
        </w:rPr>
        <w:t>乙方需在</w:t>
      </w:r>
      <w:r>
        <w:rPr>
          <w:rFonts w:hint="eastAsia"/>
          <w:lang w:val="en-US" w:eastAsia="zh-CN"/>
        </w:rPr>
        <w:t>每次</w:t>
      </w:r>
      <w:r>
        <w:rPr>
          <w:rFonts w:hint="eastAsia"/>
        </w:rPr>
        <w:t>结算时提供完整的评估报告及费用明细</w:t>
      </w:r>
      <w:r>
        <w:rPr>
          <w:rFonts w:hint="eastAsia"/>
          <w:lang w:eastAsia="zh-CN"/>
        </w:rPr>
        <w:t>，</w:t>
      </w:r>
      <w:r>
        <w:rPr>
          <w:rFonts w:hint="eastAsia"/>
          <w:lang w:val="en-US" w:eastAsia="zh-CN"/>
        </w:rPr>
        <w:t>采购人应在收到供应商正式发票并审核通过后</w:t>
      </w:r>
      <w:r>
        <w:rPr>
          <w:rFonts w:hint="eastAsia"/>
        </w:rPr>
        <w:t>支付该部分对应的评估费用</w:t>
      </w:r>
      <w:r>
        <w:rPr>
          <w:rFonts w:hint="eastAsia"/>
          <w:lang w:val="en-US" w:eastAsia="zh-CN"/>
        </w:rPr>
        <w:t>。</w:t>
      </w:r>
    </w:p>
    <w:p w14:paraId="49B7FF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rPr>
      </w:pPr>
      <w:r>
        <w:rPr>
          <w:rFonts w:hint="eastAsia"/>
          <w:lang w:val="en-US" w:eastAsia="zh-CN"/>
        </w:rPr>
        <w:t>5.2</w:t>
      </w:r>
      <w:r>
        <w:rPr>
          <w:rFonts w:hint="eastAsia"/>
        </w:rPr>
        <w:t>费用计算依据：</w:t>
      </w:r>
      <w:r>
        <w:rPr>
          <w:rFonts w:hint="eastAsia"/>
          <w:lang w:val="en-US" w:eastAsia="zh-CN"/>
        </w:rPr>
        <w:t>评估费按每宗评估项目单独计算，以中标单价按实结算</w:t>
      </w:r>
      <w:r>
        <w:rPr>
          <w:rFonts w:hint="eastAsia"/>
        </w:rPr>
        <w:t>。</w:t>
      </w:r>
    </w:p>
    <w:p w14:paraId="439C3B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rPr>
      </w:pPr>
      <w:r>
        <w:rPr>
          <w:rFonts w:hint="eastAsia"/>
          <w:lang w:val="en-US" w:eastAsia="zh-CN"/>
        </w:rPr>
        <w:t>5.3</w:t>
      </w:r>
      <w:r>
        <w:rPr>
          <w:rFonts w:hint="eastAsia"/>
        </w:rPr>
        <w:t>评估内容变动处理：由于实际评估</w:t>
      </w:r>
      <w:r>
        <w:rPr>
          <w:rFonts w:hint="eastAsia"/>
          <w:lang w:eastAsia="zh-CN"/>
        </w:rPr>
        <w:t>资产</w:t>
      </w:r>
      <w:r>
        <w:rPr>
          <w:rFonts w:hint="eastAsia"/>
        </w:rPr>
        <w:t>可能存在变动，若有新增需评估的</w:t>
      </w:r>
      <w:r>
        <w:rPr>
          <w:rFonts w:hint="eastAsia"/>
          <w:lang w:eastAsia="zh-CN"/>
        </w:rPr>
        <w:t>资产</w:t>
      </w:r>
      <w:r>
        <w:rPr>
          <w:rFonts w:hint="eastAsia"/>
        </w:rPr>
        <w:t>，双方将根据新增</w:t>
      </w:r>
      <w:r>
        <w:rPr>
          <w:rFonts w:hint="eastAsia"/>
          <w:lang w:eastAsia="zh-CN"/>
        </w:rPr>
        <w:t>资产</w:t>
      </w:r>
      <w:r>
        <w:rPr>
          <w:rFonts w:hint="eastAsia"/>
        </w:rPr>
        <w:t>的数量、类型等因素，参照原约定单价协商确定新增部分的评估费用，并纳入后续支付款项中；若有减少评估的</w:t>
      </w:r>
      <w:r>
        <w:rPr>
          <w:rFonts w:hint="eastAsia"/>
          <w:lang w:eastAsia="zh-CN"/>
        </w:rPr>
        <w:t>资产</w:t>
      </w:r>
      <w:r>
        <w:rPr>
          <w:rFonts w:hint="eastAsia"/>
        </w:rPr>
        <w:t>，已完成评估部分正常支付费用，未开展评估工作的部分从总费用中扣除。</w:t>
      </w:r>
    </w:p>
    <w:p w14:paraId="17F85F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lang w:val="en-US" w:eastAsia="zh-CN"/>
        </w:rPr>
      </w:pPr>
      <w:r>
        <w:rPr>
          <w:rFonts w:hint="eastAsia"/>
          <w:lang w:val="en-US" w:eastAsia="zh-CN"/>
        </w:rPr>
        <w:t>5.4</w:t>
      </w:r>
      <w:r>
        <w:rPr>
          <w:rFonts w:hint="eastAsia"/>
        </w:rPr>
        <w:t>最终结算：待全部评估工作完成后</w:t>
      </w:r>
      <w:r>
        <w:rPr>
          <w:rFonts w:hint="eastAsia"/>
          <w:color w:val="auto"/>
          <w:highlight w:val="none"/>
          <w:lang w:eastAsia="zh-CN"/>
        </w:rPr>
        <w:t>（</w:t>
      </w:r>
      <w:r>
        <w:rPr>
          <w:rFonts w:hint="eastAsia"/>
          <w:color w:val="auto"/>
          <w:highlight w:val="none"/>
          <w:lang w:val="en-US" w:eastAsia="zh-CN"/>
        </w:rPr>
        <w:t>具体以业主书面通知为准</w:t>
      </w:r>
      <w:r>
        <w:rPr>
          <w:rFonts w:hint="eastAsia"/>
          <w:color w:val="auto"/>
          <w:highlight w:val="none"/>
          <w:lang w:eastAsia="zh-CN"/>
        </w:rPr>
        <w:t>）</w:t>
      </w:r>
      <w:r>
        <w:rPr>
          <w:rFonts w:hint="eastAsia"/>
        </w:rPr>
        <w:t>，双方根据实际完成评估的</w:t>
      </w:r>
      <w:r>
        <w:rPr>
          <w:rFonts w:hint="eastAsia"/>
          <w:lang w:eastAsia="zh-CN"/>
        </w:rPr>
        <w:t>资产</w:t>
      </w:r>
      <w:r>
        <w:rPr>
          <w:rFonts w:hint="eastAsia"/>
        </w:rPr>
        <w:t>总量，按照约定单价进行最终结算。乙方需在结算时提供完整的评估报告及费用明细，经甲方审核无误后完成尾款支付。</w:t>
      </w:r>
    </w:p>
    <w:p w14:paraId="5967E026">
      <w:pPr>
        <w:rPr>
          <w:rFonts w:hint="eastAsia" w:ascii="宋体" w:hAnsi="宋体" w:eastAsia="宋体" w:cs="宋体"/>
          <w:b/>
          <w:bCs/>
          <w:i w:val="0"/>
          <w:iCs w:val="0"/>
          <w:caps w:val="0"/>
          <w:color w:val="auto"/>
          <w:spacing w:val="0"/>
          <w:sz w:val="28"/>
          <w:szCs w:val="28"/>
          <w:shd w:val="clear" w:fill="FFFFFF"/>
        </w:rPr>
      </w:pPr>
      <w:r>
        <w:rPr>
          <w:rFonts w:hint="eastAsia" w:ascii="宋体" w:hAnsi="宋体" w:eastAsia="宋体" w:cs="宋体"/>
          <w:b/>
          <w:bCs/>
          <w:i w:val="0"/>
          <w:iCs w:val="0"/>
          <w:caps w:val="0"/>
          <w:color w:val="auto"/>
          <w:spacing w:val="0"/>
          <w:kern w:val="0"/>
          <w:sz w:val="28"/>
          <w:szCs w:val="28"/>
          <w:shd w:val="clear" w:fill="FFFFFF"/>
          <w:lang w:val="en-US" w:eastAsia="zh-CN" w:bidi="ar"/>
        </w:rPr>
        <w:t>二、</w:t>
      </w:r>
      <w:r>
        <w:rPr>
          <w:rFonts w:hint="eastAsia" w:ascii="宋体" w:hAnsi="宋体" w:eastAsia="宋体" w:cs="宋体"/>
          <w:b/>
          <w:bCs/>
          <w:i w:val="0"/>
          <w:iCs w:val="0"/>
          <w:caps w:val="0"/>
          <w:color w:val="auto"/>
          <w:spacing w:val="0"/>
          <w:sz w:val="28"/>
          <w:szCs w:val="28"/>
          <w:shd w:val="clear" w:fill="FFFFFF"/>
        </w:rPr>
        <w:t>技术和服务要求</w:t>
      </w:r>
    </w:p>
    <w:p w14:paraId="5DF8F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bCs/>
          <w:color w:val="auto"/>
          <w:kern w:val="0"/>
          <w:sz w:val="21"/>
          <w:szCs w:val="21"/>
          <w:vertAlign w:val="baseline"/>
          <w:lang w:val="en-US" w:eastAsia="zh-CN" w:bidi="ar"/>
        </w:rPr>
      </w:pPr>
      <w:r>
        <w:rPr>
          <w:rFonts w:hint="eastAsia" w:ascii="Calibri" w:hAnsi="Calibri" w:eastAsia="宋体" w:cs="Times New Roman"/>
          <w:kern w:val="0"/>
          <w:sz w:val="21"/>
          <w:szCs w:val="21"/>
          <w:lang w:val="en-US" w:eastAsia="zh-CN" w:bidi="ar"/>
        </w:rPr>
        <w:t>（一）</w:t>
      </w:r>
      <w:r>
        <w:t>项目需求</w:t>
      </w:r>
      <w:r>
        <w:rPr>
          <w:rFonts w:hint="eastAsia" w:ascii="宋体" w:hAnsi="宋体" w:eastAsia="宋体" w:cs="宋体"/>
          <w:b/>
          <w:bCs/>
          <w:color w:val="auto"/>
          <w:kern w:val="0"/>
          <w:sz w:val="21"/>
          <w:szCs w:val="21"/>
          <w:vertAlign w:val="baseline"/>
          <w:lang w:val="en-US" w:eastAsia="zh-CN" w:bidi="ar"/>
        </w:rPr>
        <w:t>：</w:t>
      </w:r>
    </w:p>
    <w:p w14:paraId="06E25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pPr>
      <w:r>
        <w:t>【评审项</w:t>
      </w:r>
      <w:r>
        <w:rPr>
          <w:rFonts w:hint="eastAsia"/>
          <w:lang w:val="en-US" w:eastAsia="zh-CN"/>
        </w:rPr>
        <w:t>1</w:t>
      </w:r>
      <w:r>
        <w:t>】1、中标供应商在评估过程中应严格执行国家及各级政府部门或机构制订颁布的有关资产评估等方面的法律、法规、规章、制度、准则、规则等；严格遵循执业操守，应当恪守职业道德，按照独立、客观、公正的原则提供服务。</w:t>
      </w:r>
    </w:p>
    <w:p w14:paraId="547DF5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pPr>
      <w:r>
        <w:t>【评审项</w:t>
      </w:r>
      <w:r>
        <w:rPr>
          <w:rFonts w:hint="eastAsia"/>
          <w:lang w:val="en-US" w:eastAsia="zh-CN"/>
        </w:rPr>
        <w:t>2</w:t>
      </w:r>
      <w:r>
        <w:t>】2、中标供应商在评估期间必须按照相关规定进行实地查勘。</w:t>
      </w:r>
    </w:p>
    <w:p w14:paraId="4E7547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pPr>
      <w:r>
        <w:t>【评审项</w:t>
      </w:r>
      <w:r>
        <w:rPr>
          <w:rFonts w:hint="eastAsia"/>
          <w:lang w:val="en-US" w:eastAsia="zh-CN"/>
        </w:rPr>
        <w:t>3</w:t>
      </w:r>
      <w:r>
        <w:t>】</w:t>
      </w:r>
      <w:r>
        <w:rPr>
          <w:rFonts w:hint="eastAsia"/>
          <w:lang w:val="en-US" w:eastAsia="zh-CN"/>
        </w:rPr>
        <w:t>3</w:t>
      </w:r>
      <w:r>
        <w:t>、中标供应商出具的评估报告及其他有关的文件资料的版权归采购人所有。未经采购人同意中标供应商不得用于其他任何用途。</w:t>
      </w:r>
    </w:p>
    <w:p w14:paraId="6B1095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Calibri" w:eastAsia="宋体"/>
          <w:lang w:val="en-US" w:eastAsia="zh-CN"/>
        </w:rPr>
      </w:pPr>
      <w:r>
        <w:t>【评审项</w:t>
      </w:r>
      <w:r>
        <w:rPr>
          <w:rFonts w:hint="eastAsia"/>
          <w:lang w:val="en-US" w:eastAsia="zh-CN"/>
        </w:rPr>
        <w:t>4</w:t>
      </w:r>
      <w:r>
        <w:t>】</w:t>
      </w:r>
      <w:r>
        <w:rPr>
          <w:rFonts w:hint="eastAsia"/>
          <w:lang w:val="en-US" w:eastAsia="zh-CN"/>
        </w:rPr>
        <w:t>4</w:t>
      </w:r>
      <w:r>
        <w:t>、本次评估服务在提交完评估报告及其他相关材料之后一年内，采购人若发现中标供应商出具的评估报告及其他相关材料存在错漏，采购人有权要求中标供应商予以修订更正，重新出具更正后评估报告及相关材料</w:t>
      </w:r>
      <w:r>
        <w:rPr>
          <w:rFonts w:hint="eastAsia" w:ascii="Calibri" w:eastAsia="宋体"/>
          <w:lang w:val="en-US" w:eastAsia="zh-CN"/>
        </w:rPr>
        <w:t>.</w:t>
      </w:r>
    </w:p>
    <w:p w14:paraId="3C527A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pPr>
      <w:r>
        <w:t>【评审项</w:t>
      </w:r>
      <w:r>
        <w:rPr>
          <w:rFonts w:hint="eastAsia"/>
          <w:lang w:val="en-US" w:eastAsia="zh-CN"/>
        </w:rPr>
        <w:t>5</w:t>
      </w:r>
      <w:r>
        <w:t>】</w:t>
      </w:r>
      <w:r>
        <w:rPr>
          <w:rFonts w:hint="eastAsia"/>
          <w:lang w:val="en-US" w:eastAsia="zh-CN"/>
        </w:rPr>
        <w:t>5</w:t>
      </w:r>
      <w:r>
        <w:t>、中标供应商在评估过程中发现的问题给予充分体现，同时还应提供相关建议，最后还需对本次评估过程中发现的问题进行汇总、总结。</w:t>
      </w:r>
    </w:p>
    <w:p w14:paraId="39334A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pPr>
      <w:r>
        <w:t>【评审项</w:t>
      </w:r>
      <w:r>
        <w:rPr>
          <w:rFonts w:hint="eastAsia"/>
          <w:lang w:val="en-US" w:eastAsia="zh-CN"/>
        </w:rPr>
        <w:t>6</w:t>
      </w:r>
      <w:r>
        <w:t>】</w:t>
      </w:r>
      <w:r>
        <w:rPr>
          <w:rFonts w:hint="eastAsia"/>
          <w:lang w:val="en-US" w:eastAsia="zh-CN"/>
        </w:rPr>
        <w:t>6</w:t>
      </w:r>
      <w:r>
        <w:t>、中标供应商应制定详细的评估工作方案，包括拟投入本项目的评估工作小组人员组成、评估进度安排、评估质量控制及有关的评估服务承诺。</w:t>
      </w:r>
    </w:p>
    <w:p w14:paraId="7D045C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eastAsia="宋体"/>
          <w:lang w:eastAsia="zh-CN"/>
        </w:rPr>
      </w:pPr>
      <w:r>
        <w:t>【评审项</w:t>
      </w:r>
      <w:r>
        <w:rPr>
          <w:rFonts w:hint="eastAsia"/>
          <w:lang w:val="en-US" w:eastAsia="zh-CN"/>
        </w:rPr>
        <w:t>7</w:t>
      </w:r>
      <w:r>
        <w:t>】</w:t>
      </w:r>
      <w:r>
        <w:rPr>
          <w:rFonts w:hint="eastAsia"/>
          <w:lang w:val="en-US" w:eastAsia="zh-CN"/>
        </w:rPr>
        <w:t>7</w:t>
      </w:r>
      <w:r>
        <w:t>、中标供应商拟投入本项目的资产评估人员、土地评估人员、房地产评估人员应具有良好的诚信记录，相应的从业资格证书</w:t>
      </w:r>
      <w:r>
        <w:rPr>
          <w:rFonts w:hint="eastAsia" w:eastAsia="宋体"/>
          <w:lang w:eastAsia="zh-CN"/>
        </w:rPr>
        <w:t>。</w:t>
      </w:r>
    </w:p>
    <w:p w14:paraId="36162E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pPr>
      <w:r>
        <w:t>【评审项</w:t>
      </w:r>
      <w:r>
        <w:rPr>
          <w:rFonts w:hint="eastAsia"/>
          <w:lang w:val="en-US" w:eastAsia="zh-CN"/>
        </w:rPr>
        <w:t>8</w:t>
      </w:r>
      <w:r>
        <w:t>】</w:t>
      </w:r>
      <w:r>
        <w:rPr>
          <w:rFonts w:hint="eastAsia"/>
          <w:lang w:val="en-US" w:eastAsia="zh-CN"/>
        </w:rPr>
        <w:t>8</w:t>
      </w:r>
      <w:r>
        <w:t>、其评估人员诚信档案中不得有处罚信息。</w:t>
      </w:r>
    </w:p>
    <w:p w14:paraId="5D2B0D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t>【评审项</w:t>
      </w:r>
      <w:r>
        <w:rPr>
          <w:rFonts w:hint="eastAsia"/>
          <w:lang w:val="en-US" w:eastAsia="zh-CN"/>
        </w:rPr>
        <w:t>9</w:t>
      </w:r>
      <w:r>
        <w:t xml:space="preserve">】 </w:t>
      </w:r>
      <w:r>
        <w:rPr>
          <w:rFonts w:hint="eastAsia"/>
          <w:lang w:val="en-US" w:eastAsia="zh-CN"/>
        </w:rPr>
        <w:t>9</w:t>
      </w:r>
      <w:r>
        <w:t>、投入本项目的服务人员一经确定，不得随意更换，直至服务期结束。若中途需要更换服务人员，更换的人员资质经验不低于原有人员，且须经采购人同意。</w:t>
      </w:r>
    </w:p>
    <w:p w14:paraId="6FE46AE5">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评估成果文件要求</w:t>
      </w:r>
    </w:p>
    <w:p w14:paraId="098CE8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pPr>
      <w:r>
        <w:t>【评审项</w:t>
      </w:r>
      <w:r>
        <w:rPr>
          <w:rFonts w:hint="eastAsia"/>
          <w:lang w:val="en-US" w:eastAsia="zh-CN"/>
        </w:rPr>
        <w:t>10</w:t>
      </w:r>
      <w:r>
        <w:t>】1、中标供应商应在收到评估标的相关资料之日起</w:t>
      </w:r>
      <w:r>
        <w:rPr>
          <w:rFonts w:hint="eastAsia" w:ascii="Calibri" w:eastAsia="宋体"/>
          <w:lang w:val="en-US" w:eastAsia="zh-CN"/>
        </w:rPr>
        <w:t>10</w:t>
      </w:r>
      <w:r>
        <w:t>个工作日内（特殊情况3个工作日内）完成评估报告书初稿并提交采购人。</w:t>
      </w:r>
    </w:p>
    <w:p w14:paraId="2D06F0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pPr>
      <w:r>
        <w:t>【评审项1</w:t>
      </w:r>
      <w:r>
        <w:rPr>
          <w:rFonts w:hint="eastAsia"/>
          <w:lang w:val="en-US" w:eastAsia="zh-CN"/>
        </w:rPr>
        <w:t>1</w:t>
      </w:r>
      <w:r>
        <w:t>】2、若资产评估报告书初稿经采购人审核后需进行修改，中标供应商应在</w:t>
      </w:r>
      <w:r>
        <w:rPr>
          <w:rFonts w:hint="eastAsia" w:ascii="Calibri" w:eastAsia="宋体"/>
          <w:lang w:val="en-US" w:eastAsia="zh-CN"/>
        </w:rPr>
        <w:t>10</w:t>
      </w:r>
      <w:r>
        <w:t>个工作日内完成资产评估报告书修订稿并提交采购人。</w:t>
      </w:r>
    </w:p>
    <w:p w14:paraId="255D9B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pPr>
      <w:r>
        <w:t>【评审项1</w:t>
      </w:r>
      <w:r>
        <w:rPr>
          <w:rFonts w:hint="eastAsia"/>
          <w:lang w:val="en-US" w:eastAsia="zh-CN"/>
        </w:rPr>
        <w:t>2</w:t>
      </w:r>
      <w:r>
        <w:t>】3、资产评估报告书经采购人审定后，中标供应商应在</w:t>
      </w:r>
      <w:r>
        <w:rPr>
          <w:rFonts w:hint="eastAsia" w:ascii="Calibri" w:eastAsia="宋体"/>
          <w:lang w:val="en-US" w:eastAsia="zh-CN"/>
        </w:rPr>
        <w:t>10</w:t>
      </w:r>
      <w:r>
        <w:t>个工作日内出具正式评估报告书，并履行电子备案程序及取得电子备案号。</w:t>
      </w:r>
    </w:p>
    <w:p w14:paraId="51E2CA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pPr>
      <w:r>
        <w:t>【评审项1</w:t>
      </w:r>
      <w:r>
        <w:rPr>
          <w:rFonts w:hint="eastAsia"/>
          <w:lang w:val="en-US" w:eastAsia="zh-CN"/>
        </w:rPr>
        <w:t>3</w:t>
      </w:r>
      <w:r>
        <w:t>】4、评估报告书若需有关主管部门确认的应提交审查确认，评估报告书应符合《</w:t>
      </w:r>
      <w:r>
        <w:rPr>
          <w:rFonts w:hint="eastAsia" w:eastAsia="宋体"/>
          <w:lang w:eastAsia="zh-CN"/>
        </w:rPr>
        <w:t>资产评估</w:t>
      </w:r>
      <w:r>
        <w:t>规范》等</w:t>
      </w:r>
      <w:r>
        <w:rPr>
          <w:rFonts w:hint="eastAsia" w:eastAsia="宋体"/>
          <w:lang w:eastAsia="zh-CN"/>
        </w:rPr>
        <w:t>财政局</w:t>
      </w:r>
      <w:r>
        <w:t>及有关部门规定的格式和要求。</w:t>
      </w:r>
    </w:p>
    <w:p w14:paraId="45F7AB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eastAsia="宋体"/>
          <w:lang w:eastAsia="zh-CN"/>
        </w:rPr>
      </w:pPr>
      <w:r>
        <w:t>【评审项1</w:t>
      </w:r>
      <w:r>
        <w:rPr>
          <w:rFonts w:hint="eastAsia"/>
          <w:lang w:val="en-US" w:eastAsia="zh-CN"/>
        </w:rPr>
        <w:t>4</w:t>
      </w:r>
      <w:r>
        <w:t>】5、</w:t>
      </w:r>
      <w:r>
        <w:rPr>
          <w:rFonts w:hint="eastAsia" w:eastAsia="宋体"/>
          <w:lang w:eastAsia="zh-CN"/>
        </w:rPr>
        <w:t>评估报告需按照相关评估规范要求提供一式三份。</w:t>
      </w:r>
    </w:p>
    <w:p w14:paraId="79B3D8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eastAsia="宋体"/>
          <w:lang w:eastAsia="zh-CN"/>
        </w:rPr>
      </w:pPr>
      <w:r>
        <w:rPr>
          <w:rFonts w:hint="eastAsia" w:eastAsia="宋体"/>
          <w:lang w:eastAsia="zh-CN"/>
        </w:rPr>
        <w:t>（</w:t>
      </w:r>
      <w:r>
        <w:rPr>
          <w:rFonts w:hint="eastAsia" w:eastAsia="宋体"/>
          <w:lang w:val="en-US" w:eastAsia="zh-CN"/>
        </w:rPr>
        <w:t>三</w:t>
      </w:r>
      <w:r>
        <w:rPr>
          <w:rFonts w:hint="eastAsia" w:eastAsia="宋体"/>
          <w:lang w:eastAsia="zh-CN"/>
        </w:rPr>
        <w:t>）知识产权要求</w:t>
      </w:r>
    </w:p>
    <w:p w14:paraId="3CA66D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pPr>
      <w:r>
        <w:t>【评审项1</w:t>
      </w:r>
      <w:r>
        <w:rPr>
          <w:rFonts w:hint="eastAsia"/>
          <w:lang w:val="en-US" w:eastAsia="zh-CN"/>
        </w:rPr>
        <w:t>5</w:t>
      </w:r>
      <w:r>
        <w:t>】1、中标供应商必须对采购人提供的资料及与本项目相关的一切资料履行保密责任，未经采购人书面许可，不得向任何第三方复制、转让、使用、引用，中标供应商也不得用于其他的任何场合。</w:t>
      </w:r>
    </w:p>
    <w:p w14:paraId="109897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pPr>
      <w:r>
        <w:t>【评审项1</w:t>
      </w:r>
      <w:r>
        <w:rPr>
          <w:rFonts w:hint="eastAsia"/>
          <w:lang w:val="en-US" w:eastAsia="zh-CN"/>
        </w:rPr>
        <w:t>6</w:t>
      </w:r>
      <w:r>
        <w:t>】2、中标供应商提供的一切服务成果资料必须是自主研究、自主编制的，并保证采购人在使用过程的任何时候不受到知识产权或版权的纠纷。</w:t>
      </w:r>
    </w:p>
    <w:p w14:paraId="35E50B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eastAsia="宋体"/>
          <w:lang w:eastAsia="zh-CN"/>
        </w:rPr>
      </w:pPr>
      <w:r>
        <w:t>【评审项1</w:t>
      </w:r>
      <w:r>
        <w:rPr>
          <w:rFonts w:hint="eastAsia"/>
          <w:lang w:val="en-US" w:eastAsia="zh-CN"/>
        </w:rPr>
        <w:t>7</w:t>
      </w:r>
      <w:r>
        <w:t>】3、中标供应商应保证采购人在使用该资料或其任何一部分时免受第三方提出侵犯其专利权、商 标权等的起诉。否则，由此产生的责任，完全由中标供应商承担。</w:t>
      </w:r>
    </w:p>
    <w:p w14:paraId="7C4B62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eastAsia" w:eastAsia="宋体"/>
          <w:lang w:eastAsia="zh-CN"/>
        </w:rPr>
      </w:pPr>
      <w:r>
        <w:t>报价要求</w:t>
      </w:r>
      <w:r>
        <w:rPr>
          <w:rFonts w:hint="eastAsia"/>
          <w:lang w:eastAsia="zh-CN"/>
        </w:rPr>
        <w:t>：</w:t>
      </w:r>
      <w:r>
        <w:rPr>
          <w:rFonts w:hint="eastAsia" w:ascii="Calibri" w:eastAsia="宋体"/>
          <w:lang w:val="en-US" w:eastAsia="zh-CN"/>
        </w:rPr>
        <w:t xml:space="preserve">不得高于合同最高限价，否则按无效投标处理。  </w:t>
      </w:r>
    </w:p>
    <w:p w14:paraId="23E64EF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200" w:right="0" w:rightChars="0"/>
        <w:jc w:val="left"/>
        <w:textAlignment w:val="auto"/>
        <w:rPr>
          <w:rFonts w:hint="default" w:eastAsia="宋体"/>
          <w:lang w:val="en-US" w:eastAsia="zh-CN"/>
        </w:rPr>
      </w:pPr>
    </w:p>
    <w:p w14:paraId="52ADB09C">
      <w:pPr>
        <w:spacing w:line="360" w:lineRule="auto"/>
        <w:rPr>
          <w:rFonts w:hint="eastAsia" w:ascii="宋体" w:hAnsi="宋体" w:eastAsia="宋体" w:cs="宋体"/>
          <w:b/>
          <w:i w:val="0"/>
          <w:caps w:val="0"/>
          <w:color w:val="auto"/>
          <w:spacing w:val="0"/>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i w:val="0"/>
          <w:caps w:val="0"/>
          <w:color w:val="auto"/>
          <w:spacing w:val="0"/>
          <w:sz w:val="24"/>
          <w:szCs w:val="24"/>
          <w:shd w:val="clear" w:color="auto" w:fill="FFFFFF"/>
        </w:rPr>
        <w:t>商务条件</w:t>
      </w:r>
    </w:p>
    <w:p w14:paraId="6F7CAD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采购包1：</w:t>
      </w:r>
    </w:p>
    <w:tbl>
      <w:tblPr>
        <w:tblStyle w:val="18"/>
        <w:tblW w:w="965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0"/>
        <w:gridCol w:w="1256"/>
        <w:gridCol w:w="1322"/>
        <w:gridCol w:w="6121"/>
      </w:tblGrid>
      <w:tr w14:paraId="0D6C85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D93EC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序号</w:t>
            </w:r>
          </w:p>
        </w:tc>
        <w:tc>
          <w:tcPr>
            <w:tcW w:w="125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4C8A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参数性质</w:t>
            </w:r>
          </w:p>
        </w:tc>
        <w:tc>
          <w:tcPr>
            <w:tcW w:w="132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283CDC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类型</w:t>
            </w:r>
          </w:p>
        </w:tc>
        <w:tc>
          <w:tcPr>
            <w:tcW w:w="61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D032D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要求</w:t>
            </w:r>
          </w:p>
        </w:tc>
      </w:tr>
      <w:tr w14:paraId="65D590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B9062D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p>
        </w:tc>
        <w:tc>
          <w:tcPr>
            <w:tcW w:w="125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413127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c>
          <w:tcPr>
            <w:tcW w:w="132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0B4DF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交货时间</w:t>
            </w:r>
          </w:p>
        </w:tc>
        <w:tc>
          <w:tcPr>
            <w:tcW w:w="61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CBA5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eastAsia="宋体"/>
                <w:highlight w:val="none"/>
                <w:lang w:val="en-US" w:eastAsia="zh-CN"/>
              </w:rPr>
              <w:t>结束时间</w:t>
            </w:r>
            <w:r>
              <w:rPr>
                <w:rFonts w:hint="eastAsia" w:ascii="Times New Roman" w:eastAsia="宋体"/>
                <w:highlight w:val="none"/>
                <w:lang w:val="en-US" w:eastAsia="zh-CN"/>
              </w:rPr>
              <w:t>具体以业主书面通知为准</w:t>
            </w:r>
          </w:p>
        </w:tc>
      </w:tr>
      <w:tr w14:paraId="7A77C9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4" w:hRule="atLeast"/>
        </w:trPr>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4AFDC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w:t>
            </w:r>
          </w:p>
        </w:tc>
        <w:tc>
          <w:tcPr>
            <w:tcW w:w="125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503B5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c>
          <w:tcPr>
            <w:tcW w:w="132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C04574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交货地点</w:t>
            </w:r>
          </w:p>
        </w:tc>
        <w:tc>
          <w:tcPr>
            <w:tcW w:w="61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7514C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莆田市</w:t>
            </w:r>
          </w:p>
        </w:tc>
      </w:tr>
      <w:tr w14:paraId="29F9A6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D9748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w:t>
            </w:r>
          </w:p>
        </w:tc>
        <w:tc>
          <w:tcPr>
            <w:tcW w:w="125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547E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c>
          <w:tcPr>
            <w:tcW w:w="132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D6DEB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交货条件</w:t>
            </w:r>
          </w:p>
        </w:tc>
        <w:tc>
          <w:tcPr>
            <w:tcW w:w="61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9462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按照招标文件要求及合同进行交付</w:t>
            </w:r>
          </w:p>
        </w:tc>
      </w:tr>
      <w:tr w14:paraId="3F3B50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7E6D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w:t>
            </w:r>
          </w:p>
        </w:tc>
        <w:tc>
          <w:tcPr>
            <w:tcW w:w="125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3EE86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c>
          <w:tcPr>
            <w:tcW w:w="132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623E8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是否邀请投标人验收</w:t>
            </w:r>
          </w:p>
        </w:tc>
        <w:tc>
          <w:tcPr>
            <w:tcW w:w="61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146E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不邀请投标人验收</w:t>
            </w:r>
          </w:p>
        </w:tc>
      </w:tr>
      <w:tr w14:paraId="2016F7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605A1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w:t>
            </w:r>
          </w:p>
        </w:tc>
        <w:tc>
          <w:tcPr>
            <w:tcW w:w="125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372F3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c>
          <w:tcPr>
            <w:tcW w:w="132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B694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履约验收方式</w:t>
            </w:r>
          </w:p>
        </w:tc>
        <w:tc>
          <w:tcPr>
            <w:tcW w:w="61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35828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i w:val="0"/>
                <w:caps w:val="0"/>
                <w:color w:val="auto"/>
                <w:spacing w:val="0"/>
                <w:kern w:val="0"/>
                <w:sz w:val="24"/>
                <w:szCs w:val="24"/>
                <w:highlight w:val="none"/>
                <w:u w:val="none"/>
                <w:vertAlign w:val="baseline"/>
                <w:lang w:val="en-US" w:eastAsia="zh-CN" w:bidi="ar"/>
              </w:rPr>
              <w:t>说明：按照招标文件及投标文件和合同要求出具评估报告,评估报告符合国家现行规定标准</w:t>
            </w:r>
          </w:p>
        </w:tc>
      </w:tr>
      <w:tr w14:paraId="4C3889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4DEFE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w:t>
            </w:r>
          </w:p>
        </w:tc>
        <w:tc>
          <w:tcPr>
            <w:tcW w:w="125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3D3CC4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c>
          <w:tcPr>
            <w:tcW w:w="132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361504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履约保证金</w:t>
            </w:r>
          </w:p>
        </w:tc>
        <w:tc>
          <w:tcPr>
            <w:tcW w:w="61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0092843">
            <w:pPr>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本项目不需要缴纳履约保证金</w:t>
            </w:r>
          </w:p>
        </w:tc>
      </w:tr>
      <w:tr w14:paraId="60BECF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4F3F57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w:t>
            </w:r>
          </w:p>
        </w:tc>
        <w:tc>
          <w:tcPr>
            <w:tcW w:w="125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A8DC4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leftChars="0" w:right="0" w:rightChars="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c>
          <w:tcPr>
            <w:tcW w:w="132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F0A91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合同支付方式</w:t>
            </w:r>
          </w:p>
        </w:tc>
        <w:tc>
          <w:tcPr>
            <w:tcW w:w="61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07C82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本次</w:t>
            </w:r>
            <w:r>
              <w:rPr>
                <w:rFonts w:hint="eastAsia" w:eastAsiaTheme="minorEastAsia"/>
                <w:color w:val="auto"/>
                <w:highlight w:val="none"/>
                <w:lang w:eastAsia="zh-CN"/>
              </w:rPr>
              <w:t>资产</w:t>
            </w:r>
            <w:r>
              <w:rPr>
                <w:rFonts w:hint="eastAsia"/>
                <w:color w:val="auto"/>
                <w:highlight w:val="none"/>
              </w:rPr>
              <w:t>评估项目，</w:t>
            </w:r>
            <w:r>
              <w:rPr>
                <w:rFonts w:hint="eastAsia" w:asciiTheme="minorHAnsi" w:eastAsiaTheme="minorEastAsia"/>
                <w:color w:val="auto"/>
                <w:highlight w:val="none"/>
                <w:lang w:val="en-US" w:eastAsia="zh-CN"/>
              </w:rPr>
              <w:t>采购人</w:t>
            </w:r>
            <w:r>
              <w:rPr>
                <w:rFonts w:hint="eastAsia"/>
                <w:color w:val="auto"/>
                <w:highlight w:val="none"/>
              </w:rPr>
              <w:t>将依据</w:t>
            </w:r>
            <w:r>
              <w:rPr>
                <w:rFonts w:hint="eastAsia" w:asciiTheme="minorHAnsi" w:eastAsiaTheme="minorEastAsia"/>
                <w:color w:val="auto"/>
                <w:highlight w:val="none"/>
                <w:lang w:val="en-US" w:eastAsia="zh-CN"/>
              </w:rPr>
              <w:t>供应商</w:t>
            </w:r>
            <w:r>
              <w:rPr>
                <w:rFonts w:hint="eastAsia"/>
                <w:color w:val="auto"/>
                <w:highlight w:val="none"/>
              </w:rPr>
              <w:t>完成的阶段性评估任务，分批支付评估费用。</w:t>
            </w:r>
            <w:r>
              <w:rPr>
                <w:rFonts w:hint="eastAsia" w:asciiTheme="minorHAnsi" w:eastAsiaTheme="minorEastAsia"/>
                <w:color w:val="auto"/>
                <w:highlight w:val="none"/>
                <w:lang w:val="en-US" w:eastAsia="zh-CN"/>
              </w:rPr>
              <w:t>每月结算一次，采购人、供应商双方应在次月10日前完成上月评估工作对账结算；</w:t>
            </w:r>
            <w:r>
              <w:rPr>
                <w:rFonts w:hint="eastAsia"/>
                <w:color w:val="auto"/>
                <w:highlight w:val="none"/>
              </w:rPr>
              <w:t>乙方需在</w:t>
            </w:r>
            <w:r>
              <w:rPr>
                <w:rFonts w:hint="eastAsia" w:asciiTheme="minorHAnsi" w:eastAsiaTheme="minorEastAsia"/>
                <w:color w:val="auto"/>
                <w:highlight w:val="none"/>
                <w:lang w:val="en-US" w:eastAsia="zh-CN"/>
              </w:rPr>
              <w:t>每次</w:t>
            </w:r>
            <w:r>
              <w:rPr>
                <w:rFonts w:hint="eastAsia"/>
                <w:color w:val="auto"/>
                <w:highlight w:val="none"/>
              </w:rPr>
              <w:t>结算时提供完整的评估报告及费用明细</w:t>
            </w:r>
            <w:r>
              <w:rPr>
                <w:rFonts w:hint="eastAsia" w:eastAsiaTheme="minorEastAsia"/>
                <w:color w:val="auto"/>
                <w:highlight w:val="none"/>
                <w:lang w:eastAsia="zh-CN"/>
              </w:rPr>
              <w:t>，</w:t>
            </w:r>
            <w:r>
              <w:rPr>
                <w:rFonts w:hint="eastAsia" w:asciiTheme="minorHAnsi" w:eastAsiaTheme="minorEastAsia"/>
                <w:color w:val="auto"/>
                <w:highlight w:val="none"/>
                <w:lang w:val="en-US" w:eastAsia="zh-CN"/>
              </w:rPr>
              <w:t>采购人应在收到供应商正式发票并审核通过后</w:t>
            </w:r>
            <w:r>
              <w:rPr>
                <w:rFonts w:hint="eastAsia"/>
                <w:color w:val="auto"/>
                <w:highlight w:val="none"/>
              </w:rPr>
              <w:t>支付该部分对应的评估费用</w:t>
            </w:r>
            <w:r>
              <w:rPr>
                <w:rFonts w:hint="eastAsia" w:asciiTheme="minorHAnsi" w:eastAsiaTheme="minorEastAsia"/>
                <w:color w:val="auto"/>
                <w:highlight w:val="none"/>
                <w:lang w:val="en-US" w:eastAsia="zh-CN"/>
              </w:rPr>
              <w:t>。</w:t>
            </w:r>
          </w:p>
          <w:p w14:paraId="2CC563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费用计算依据：</w:t>
            </w:r>
            <w:r>
              <w:rPr>
                <w:rFonts w:hint="eastAsia" w:asciiTheme="minorHAnsi" w:eastAsiaTheme="minorEastAsia"/>
                <w:color w:val="auto"/>
                <w:highlight w:val="none"/>
                <w:lang w:val="en-US" w:eastAsia="zh-CN"/>
              </w:rPr>
              <w:t>评估费按每宗评估项目单独计算，以中标单价按实结算</w:t>
            </w:r>
            <w:r>
              <w:rPr>
                <w:rFonts w:hint="eastAsia"/>
                <w:color w:val="auto"/>
                <w:highlight w:val="none"/>
              </w:rPr>
              <w:t>。</w:t>
            </w:r>
          </w:p>
          <w:p w14:paraId="1FFFCB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auto"/>
                <w:sz w:val="21"/>
                <w:szCs w:val="21"/>
                <w:highlight w:val="none"/>
              </w:rPr>
            </w:pPr>
            <w:r>
              <w:rPr>
                <w:rFonts w:hint="eastAsia"/>
                <w:color w:val="auto"/>
                <w:highlight w:val="none"/>
                <w:lang w:val="en-US" w:eastAsia="zh-CN"/>
              </w:rPr>
              <w:t>3.</w:t>
            </w:r>
            <w:r>
              <w:rPr>
                <w:rFonts w:hint="eastAsia"/>
                <w:color w:val="auto"/>
                <w:highlight w:val="none"/>
              </w:rPr>
              <w:t>最终结算：待全部评估工作完成后</w:t>
            </w:r>
            <w:r>
              <w:rPr>
                <w:rFonts w:hint="eastAsia"/>
                <w:color w:val="auto"/>
                <w:highlight w:val="none"/>
                <w:lang w:eastAsia="zh-CN"/>
              </w:rPr>
              <w:t>（</w:t>
            </w:r>
            <w:r>
              <w:rPr>
                <w:rFonts w:hint="eastAsia"/>
                <w:color w:val="auto"/>
                <w:highlight w:val="none"/>
                <w:lang w:val="en-US" w:eastAsia="zh-CN"/>
              </w:rPr>
              <w:t>具体以业主书面通知为准</w:t>
            </w:r>
            <w:r>
              <w:rPr>
                <w:rFonts w:hint="eastAsia"/>
                <w:color w:val="auto"/>
                <w:highlight w:val="none"/>
                <w:lang w:eastAsia="zh-CN"/>
              </w:rPr>
              <w:t>）</w:t>
            </w:r>
            <w:r>
              <w:rPr>
                <w:rFonts w:hint="eastAsia"/>
                <w:color w:val="auto"/>
                <w:highlight w:val="none"/>
              </w:rPr>
              <w:t>，双方根据实际完成评估的</w:t>
            </w:r>
            <w:r>
              <w:rPr>
                <w:rFonts w:hint="eastAsia"/>
                <w:color w:val="auto"/>
                <w:highlight w:val="none"/>
                <w:lang w:eastAsia="zh-CN"/>
              </w:rPr>
              <w:t>资产</w:t>
            </w:r>
            <w:r>
              <w:rPr>
                <w:rFonts w:hint="eastAsia"/>
                <w:color w:val="auto"/>
                <w:highlight w:val="none"/>
              </w:rPr>
              <w:t>总量，按照约定单价进行最终结算。</w:t>
            </w:r>
          </w:p>
        </w:tc>
      </w:tr>
      <w:tr w14:paraId="50C032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D3A276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8</w:t>
            </w:r>
          </w:p>
        </w:tc>
        <w:tc>
          <w:tcPr>
            <w:tcW w:w="1256"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44AC0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leftChars="0" w:right="0" w:right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p>
        </w:tc>
        <w:tc>
          <w:tcPr>
            <w:tcW w:w="132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21275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leftChars="0" w:right="0" w:rightChars="0"/>
              <w:jc w:val="left"/>
              <w:textAlignment w:val="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其他</w:t>
            </w:r>
          </w:p>
        </w:tc>
        <w:tc>
          <w:tcPr>
            <w:tcW w:w="612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C90D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leftChars="0" w:right="0" w:rightChars="0"/>
              <w:jc w:val="left"/>
              <w:textAlignment w:val="auto"/>
              <w:rPr>
                <w:rFonts w:hint="eastAsia" w:ascii="Calibri" w:eastAsia="宋体"/>
                <w:lang w:val="en-US" w:eastAsia="zh-CN"/>
              </w:rPr>
            </w:pPr>
            <w:r>
              <w:rPr>
                <w:rFonts w:hint="eastAsia" w:ascii="Calibri" w:eastAsia="宋体"/>
                <w:lang w:val="en-US" w:eastAsia="zh-CN"/>
              </w:rPr>
              <w:t xml:space="preserve">收费依据:按照实际完成数量和单价进行结算   </w:t>
            </w:r>
          </w:p>
        </w:tc>
      </w:tr>
    </w:tbl>
    <w:p w14:paraId="174982E1">
      <w:pPr>
        <w:pStyle w:val="37"/>
        <w:spacing w:line="360" w:lineRule="auto"/>
        <w:jc w:val="left"/>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其他商务要求：</w:t>
      </w:r>
    </w:p>
    <w:p w14:paraId="0931F3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lang w:val="en-US" w:eastAsia="zh-CN"/>
        </w:rPr>
      </w:pPr>
      <w:r>
        <w:rPr>
          <w:rFonts w:hint="eastAsia"/>
          <w:lang w:val="en-US" w:eastAsia="zh-CN"/>
        </w:rPr>
        <w:t>1、其他要求:若因在岗履行工作职责期间，发生人身伤害、伤亡、负工伤或出现视同工伤的情况，以上问题由中标供应商负责解决，采购人不承担任何责任。</w:t>
      </w:r>
    </w:p>
    <w:p w14:paraId="40C8A4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lang w:val="en-US" w:eastAsia="zh-CN"/>
        </w:rPr>
      </w:pPr>
      <w:r>
        <w:rPr>
          <w:rFonts w:hint="eastAsia"/>
          <w:lang w:val="en-US" w:eastAsia="zh-CN"/>
        </w:rPr>
        <w:t>2、知识产权：</w:t>
      </w:r>
      <w:r>
        <w:rPr>
          <w:rFonts w:hint="eastAsia"/>
          <w:lang w:val="en-US" w:eastAsia="zh-Hans"/>
        </w:rPr>
        <w:t>供应商须保障</w:t>
      </w:r>
      <w:r>
        <w:rPr>
          <w:rFonts w:hint="eastAsia"/>
          <w:lang w:val="en-US" w:eastAsia="zh-CN"/>
        </w:rPr>
        <w:t>采购人</w:t>
      </w:r>
      <w:r>
        <w:rPr>
          <w:rFonts w:hint="eastAsia"/>
          <w:lang w:val="en-US" w:eastAsia="zh-Hans"/>
        </w:rPr>
        <w:t>在使用该货物、服务或其任何一部分时不受到第三方关于侵犯专利权、商标权或工业设计权等知识产权的指控。如果任何第三方提出侵权指控与采购代理机构和</w:t>
      </w:r>
      <w:r>
        <w:rPr>
          <w:rFonts w:hint="eastAsia"/>
          <w:lang w:val="en-US" w:eastAsia="zh-CN"/>
        </w:rPr>
        <w:t>采购人</w:t>
      </w:r>
      <w:r>
        <w:rPr>
          <w:rFonts w:hint="eastAsia"/>
          <w:lang w:val="en-US" w:eastAsia="zh-Hans"/>
        </w:rPr>
        <w:t>无关，供应商须与第三方交涉并承担可能发生的责任与一切费用。如</w:t>
      </w:r>
      <w:r>
        <w:rPr>
          <w:rFonts w:hint="eastAsia"/>
          <w:lang w:val="en-US" w:eastAsia="zh-CN"/>
        </w:rPr>
        <w:t>采购人</w:t>
      </w:r>
      <w:r>
        <w:rPr>
          <w:rFonts w:hint="eastAsia"/>
          <w:lang w:val="en-US" w:eastAsia="zh-Hans"/>
        </w:rPr>
        <w:t>因此而遭致损失的，供应商应赔偿该损失。</w:t>
      </w:r>
    </w:p>
    <w:p w14:paraId="72B6AC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lang w:val="en-US" w:eastAsia="zh-Hans"/>
        </w:rPr>
      </w:pPr>
      <w:r>
        <w:rPr>
          <w:rFonts w:hint="eastAsia"/>
          <w:lang w:val="en-US" w:eastAsia="zh-CN"/>
        </w:rPr>
        <w:t>3、解决争议的方式：</w:t>
      </w:r>
      <w:r>
        <w:rPr>
          <w:rFonts w:hint="eastAsia"/>
          <w:lang w:val="en-US" w:eastAsia="zh-Hans"/>
        </w:rPr>
        <w:t>仲裁、诉讼条款：</w:t>
      </w:r>
    </w:p>
    <w:p w14:paraId="01FBB5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lang w:val="en-US" w:eastAsia="zh-Hans"/>
        </w:rPr>
      </w:pPr>
      <w:r>
        <w:rPr>
          <w:rFonts w:hint="eastAsia"/>
          <w:lang w:val="en-US" w:eastAsia="zh-Hans"/>
        </w:rPr>
        <w:t>因采购或与采购合同有关的一切事项发生争议，由</w:t>
      </w:r>
      <w:r>
        <w:rPr>
          <w:rFonts w:hint="eastAsia"/>
          <w:lang w:val="en-US" w:eastAsia="zh-CN"/>
        </w:rPr>
        <w:t>采购人</w:t>
      </w:r>
      <w:r>
        <w:rPr>
          <w:rFonts w:hint="eastAsia"/>
          <w:lang w:val="en-US" w:eastAsia="zh-Hans"/>
        </w:rPr>
        <w:t>和</w:t>
      </w:r>
      <w:r>
        <w:rPr>
          <w:rFonts w:hint="eastAsia"/>
          <w:lang w:val="en-US" w:eastAsia="zh-CN"/>
        </w:rPr>
        <w:t>中标供应商</w:t>
      </w:r>
      <w:r>
        <w:rPr>
          <w:rFonts w:hint="eastAsia"/>
          <w:lang w:val="en-US" w:eastAsia="zh-Hans"/>
        </w:rPr>
        <w:t>双方友好协商解决。协商不成的，任何一方均可选择以下方式解决：</w:t>
      </w:r>
    </w:p>
    <w:p w14:paraId="7F9E29D7">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lang w:val="en-US" w:eastAsia="zh-Hans"/>
        </w:rPr>
      </w:pPr>
      <w:r>
        <w:rPr>
          <w:rFonts w:hint="eastAsia"/>
          <w:lang w:val="en-US" w:eastAsia="zh-Hans"/>
        </w:rPr>
        <w:t>向</w:t>
      </w:r>
      <w:r>
        <w:rPr>
          <w:rFonts w:hint="eastAsia"/>
          <w:lang w:val="en-US" w:eastAsia="zh-CN"/>
        </w:rPr>
        <w:t>评估地</w:t>
      </w:r>
      <w:r>
        <w:rPr>
          <w:rFonts w:hint="eastAsia"/>
          <w:lang w:val="en-US" w:eastAsia="zh-Hans"/>
        </w:rPr>
        <w:t>仲裁委员会申请仲裁；</w:t>
      </w:r>
    </w:p>
    <w:p w14:paraId="571C7F69">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lang w:val="en-US" w:eastAsia="zh-CN"/>
        </w:rPr>
      </w:pPr>
      <w:r>
        <w:rPr>
          <w:rFonts w:hint="eastAsia"/>
          <w:lang w:val="en-US" w:eastAsia="zh-Hans"/>
        </w:rPr>
        <w:t>向有管辖权的人民法院提起诉讼。</w:t>
      </w:r>
    </w:p>
    <w:p w14:paraId="78B133DB">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lang w:val="en-US" w:eastAsia="zh-CN"/>
        </w:rPr>
      </w:pPr>
      <w:r>
        <w:rPr>
          <w:rFonts w:hint="eastAsia"/>
          <w:lang w:val="en-US" w:eastAsia="zh-CN"/>
        </w:rPr>
        <w:t>违约责任：</w:t>
      </w:r>
    </w:p>
    <w:p w14:paraId="3EDD20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lang w:val="en-US" w:eastAsia="zh-Hans"/>
        </w:rPr>
      </w:pPr>
      <w:r>
        <w:rPr>
          <w:rFonts w:hint="eastAsia"/>
          <w:lang w:val="en-US" w:eastAsia="zh-CN"/>
        </w:rPr>
        <w:t>4</w:t>
      </w:r>
      <w:r>
        <w:rPr>
          <w:rFonts w:hint="eastAsia"/>
          <w:lang w:val="en-US" w:eastAsia="zh-Hans"/>
        </w:rPr>
        <w:t>.1因</w:t>
      </w:r>
      <w:r>
        <w:rPr>
          <w:rFonts w:hint="eastAsia"/>
          <w:lang w:val="en-US" w:eastAsia="zh-CN"/>
        </w:rPr>
        <w:t>中标供应商</w:t>
      </w:r>
      <w:r>
        <w:rPr>
          <w:rFonts w:hint="eastAsia"/>
          <w:lang w:val="en-US" w:eastAsia="zh-Hans"/>
        </w:rPr>
        <w:t>原因造成采购合同无法按时签订，视为</w:t>
      </w:r>
      <w:r>
        <w:rPr>
          <w:rFonts w:hint="eastAsia"/>
          <w:lang w:val="en-US" w:eastAsia="zh-CN"/>
        </w:rPr>
        <w:t>中标供应商</w:t>
      </w:r>
      <w:r>
        <w:rPr>
          <w:rFonts w:hint="eastAsia"/>
          <w:lang w:val="en-US" w:eastAsia="zh-Hans"/>
        </w:rPr>
        <w:t>违约，</w:t>
      </w:r>
      <w:r>
        <w:rPr>
          <w:rFonts w:hint="eastAsia"/>
          <w:lang w:val="en-US" w:eastAsia="zh-CN"/>
        </w:rPr>
        <w:t>中标供应商</w:t>
      </w:r>
      <w:r>
        <w:rPr>
          <w:rFonts w:hint="eastAsia"/>
          <w:lang w:val="en-US" w:eastAsia="zh-Hans"/>
        </w:rPr>
        <w:t>违约对</w:t>
      </w:r>
      <w:r>
        <w:rPr>
          <w:rFonts w:hint="eastAsia"/>
          <w:lang w:val="en-US" w:eastAsia="zh-CN"/>
        </w:rPr>
        <w:t>采购人</w:t>
      </w:r>
      <w:r>
        <w:rPr>
          <w:rFonts w:hint="eastAsia"/>
          <w:lang w:val="en-US" w:eastAsia="zh-Hans"/>
        </w:rPr>
        <w:t>造成的损失的，需另行支付相应的赔偿。</w:t>
      </w:r>
    </w:p>
    <w:p w14:paraId="0F8DEA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lang w:val="en-US" w:eastAsia="zh-Hans"/>
        </w:rPr>
      </w:pPr>
      <w:r>
        <w:rPr>
          <w:rFonts w:hint="eastAsia"/>
          <w:lang w:val="en-US" w:eastAsia="zh-CN"/>
        </w:rPr>
        <w:t>4</w:t>
      </w:r>
      <w:r>
        <w:rPr>
          <w:rFonts w:hint="eastAsia"/>
          <w:lang w:val="en-US" w:eastAsia="zh-Hans"/>
        </w:rPr>
        <w:t>.2在签定采购合同之后，</w:t>
      </w:r>
      <w:r>
        <w:rPr>
          <w:rFonts w:hint="eastAsia"/>
          <w:lang w:val="en-US" w:eastAsia="zh-CN"/>
        </w:rPr>
        <w:t>中标供应商</w:t>
      </w:r>
      <w:r>
        <w:rPr>
          <w:rFonts w:hint="eastAsia"/>
          <w:lang w:val="en-US" w:eastAsia="zh-Hans"/>
        </w:rPr>
        <w:t>要求解除合同的，视为</w:t>
      </w:r>
      <w:r>
        <w:rPr>
          <w:rFonts w:hint="eastAsia"/>
          <w:lang w:val="en-US" w:eastAsia="zh-CN"/>
        </w:rPr>
        <w:t>中标供应商</w:t>
      </w:r>
      <w:r>
        <w:rPr>
          <w:rFonts w:hint="eastAsia"/>
          <w:lang w:val="en-US" w:eastAsia="zh-Hans"/>
        </w:rPr>
        <w:t>违约，对</w:t>
      </w:r>
      <w:r>
        <w:rPr>
          <w:rFonts w:hint="eastAsia"/>
          <w:lang w:val="en-US" w:eastAsia="zh-CN"/>
        </w:rPr>
        <w:t>采购人</w:t>
      </w:r>
      <w:r>
        <w:rPr>
          <w:rFonts w:hint="eastAsia"/>
          <w:lang w:val="en-US" w:eastAsia="zh-Hans"/>
        </w:rPr>
        <w:t>造成的损失的，</w:t>
      </w:r>
      <w:r>
        <w:rPr>
          <w:rFonts w:hint="eastAsia"/>
          <w:lang w:val="en-US" w:eastAsia="zh-CN"/>
        </w:rPr>
        <w:t>中标供应商</w:t>
      </w:r>
      <w:r>
        <w:rPr>
          <w:rFonts w:hint="eastAsia"/>
          <w:lang w:val="en-US" w:eastAsia="zh-Hans"/>
        </w:rPr>
        <w:t>需支付相应的赔偿。</w:t>
      </w:r>
    </w:p>
    <w:p w14:paraId="7EB72A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lang w:val="en-US" w:eastAsia="zh-Hans"/>
        </w:rPr>
      </w:pPr>
      <w:r>
        <w:rPr>
          <w:rFonts w:hint="eastAsia"/>
          <w:lang w:val="en-US" w:eastAsia="zh-CN"/>
        </w:rPr>
        <w:t>4</w:t>
      </w:r>
      <w:r>
        <w:rPr>
          <w:rFonts w:hint="eastAsia"/>
          <w:lang w:val="en-US" w:eastAsia="zh-Hans"/>
        </w:rPr>
        <w:t>.3在合同履约期间，</w:t>
      </w:r>
      <w:r>
        <w:rPr>
          <w:rFonts w:hint="eastAsia"/>
          <w:lang w:val="en-US" w:eastAsia="zh-CN"/>
        </w:rPr>
        <w:t>中标供应商</w:t>
      </w:r>
      <w:r>
        <w:rPr>
          <w:rFonts w:hint="eastAsia"/>
          <w:lang w:val="en-US" w:eastAsia="zh-Hans"/>
        </w:rPr>
        <w:t>多次无故推脱项目的，</w:t>
      </w:r>
      <w:r>
        <w:rPr>
          <w:rFonts w:hint="eastAsia"/>
          <w:lang w:val="en-US" w:eastAsia="zh-CN"/>
        </w:rPr>
        <w:t>采购人</w:t>
      </w:r>
      <w:r>
        <w:rPr>
          <w:rFonts w:hint="eastAsia"/>
          <w:lang w:val="en-US" w:eastAsia="zh-Hans"/>
        </w:rPr>
        <w:t>有权终止合同，并更换</w:t>
      </w:r>
      <w:r>
        <w:rPr>
          <w:rFonts w:hint="eastAsia"/>
          <w:lang w:val="en-US" w:eastAsia="zh-CN"/>
        </w:rPr>
        <w:t>中标供应商</w:t>
      </w:r>
      <w:r>
        <w:rPr>
          <w:rFonts w:hint="eastAsia"/>
          <w:lang w:val="en-US" w:eastAsia="zh-Hans"/>
        </w:rPr>
        <w:t>。</w:t>
      </w:r>
    </w:p>
    <w:p w14:paraId="0641BC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lang w:val="en-US" w:eastAsia="zh-Hans"/>
        </w:rPr>
      </w:pPr>
      <w:r>
        <w:rPr>
          <w:rFonts w:hint="eastAsia"/>
          <w:lang w:val="en-US" w:eastAsia="zh-CN"/>
        </w:rPr>
        <w:t>4</w:t>
      </w:r>
      <w:r>
        <w:rPr>
          <w:rFonts w:hint="eastAsia"/>
          <w:lang w:val="en-US" w:eastAsia="zh-Hans"/>
        </w:rPr>
        <w:t>.4因</w:t>
      </w:r>
      <w:r>
        <w:rPr>
          <w:rFonts w:hint="eastAsia"/>
          <w:lang w:val="en-US" w:eastAsia="zh-CN"/>
        </w:rPr>
        <w:t>中标供应商</w:t>
      </w:r>
      <w:r>
        <w:rPr>
          <w:rFonts w:hint="eastAsia"/>
          <w:lang w:val="en-US" w:eastAsia="zh-Hans"/>
        </w:rPr>
        <w:t>原因多次被相关部门投诉，除依约承担赔偿责任外，还将按有关办法规定执行。同时，</w:t>
      </w:r>
      <w:r>
        <w:rPr>
          <w:rFonts w:hint="eastAsia"/>
          <w:lang w:val="en-US" w:eastAsia="zh-CN"/>
        </w:rPr>
        <w:t>采购人</w:t>
      </w:r>
      <w:r>
        <w:rPr>
          <w:rFonts w:hint="eastAsia"/>
          <w:lang w:val="en-US" w:eastAsia="zh-Hans"/>
        </w:rPr>
        <w:t>有权更换</w:t>
      </w:r>
      <w:r>
        <w:rPr>
          <w:rFonts w:hint="eastAsia"/>
          <w:lang w:val="en-US" w:eastAsia="zh-CN"/>
        </w:rPr>
        <w:t>中标供应商</w:t>
      </w:r>
      <w:r>
        <w:rPr>
          <w:rFonts w:hint="eastAsia"/>
          <w:lang w:val="en-US" w:eastAsia="zh-Hans"/>
        </w:rPr>
        <w:t>的权利，并报相关行政主管部门处罚。</w:t>
      </w:r>
    </w:p>
    <w:p w14:paraId="40D9CA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lang w:val="en-US" w:eastAsia="zh-Hans"/>
        </w:rPr>
      </w:pPr>
      <w:r>
        <w:rPr>
          <w:rFonts w:hint="eastAsia"/>
          <w:lang w:val="en-US" w:eastAsia="zh-CN"/>
        </w:rPr>
        <w:t>4</w:t>
      </w:r>
      <w:r>
        <w:rPr>
          <w:rFonts w:hint="eastAsia"/>
          <w:lang w:val="en-US" w:eastAsia="zh-Hans"/>
        </w:rPr>
        <w:t>.5在合同履约期间如发现</w:t>
      </w:r>
      <w:r>
        <w:rPr>
          <w:rFonts w:hint="eastAsia"/>
          <w:lang w:val="en-US" w:eastAsia="zh-CN"/>
        </w:rPr>
        <w:t>中标供应商</w:t>
      </w:r>
      <w:r>
        <w:rPr>
          <w:rFonts w:hint="eastAsia"/>
          <w:lang w:val="en-US" w:eastAsia="zh-Hans"/>
        </w:rPr>
        <w:t>在信用中国、中国政府采购网上等平台被列入黑名单的，</w:t>
      </w:r>
      <w:r>
        <w:rPr>
          <w:rFonts w:hint="eastAsia"/>
          <w:lang w:val="en-US" w:eastAsia="zh-CN"/>
        </w:rPr>
        <w:t>采购人</w:t>
      </w:r>
      <w:r>
        <w:rPr>
          <w:rFonts w:hint="eastAsia"/>
          <w:lang w:val="en-US" w:eastAsia="zh-Hans"/>
        </w:rPr>
        <w:t>有权终止合同，并更换</w:t>
      </w:r>
      <w:r>
        <w:rPr>
          <w:rFonts w:hint="eastAsia"/>
          <w:lang w:val="en-US" w:eastAsia="zh-CN"/>
        </w:rPr>
        <w:t>中标供应商</w:t>
      </w:r>
      <w:r>
        <w:rPr>
          <w:rFonts w:hint="eastAsia"/>
          <w:lang w:val="en-US" w:eastAsia="zh-Hans"/>
        </w:rPr>
        <w:t>。</w:t>
      </w:r>
    </w:p>
    <w:p w14:paraId="7E35E9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lang w:val="en-US" w:eastAsia="zh-Hans"/>
        </w:rPr>
      </w:pPr>
      <w:r>
        <w:rPr>
          <w:rFonts w:hint="eastAsia"/>
          <w:lang w:val="en-US" w:eastAsia="zh-CN"/>
        </w:rPr>
        <w:t>4</w:t>
      </w:r>
      <w:r>
        <w:rPr>
          <w:rFonts w:hint="eastAsia"/>
          <w:lang w:val="en-US" w:eastAsia="zh-Hans"/>
        </w:rPr>
        <w:t>.6在合同履约期间如发现</w:t>
      </w:r>
      <w:r>
        <w:rPr>
          <w:rFonts w:hint="eastAsia"/>
          <w:lang w:val="en-US" w:eastAsia="zh-CN"/>
        </w:rPr>
        <w:t>中标供应商</w:t>
      </w:r>
      <w:r>
        <w:rPr>
          <w:rFonts w:hint="eastAsia"/>
          <w:lang w:val="en-US" w:eastAsia="zh-Hans"/>
        </w:rPr>
        <w:t>未书面呈报</w:t>
      </w:r>
      <w:r>
        <w:rPr>
          <w:rFonts w:hint="eastAsia"/>
          <w:lang w:val="en-US" w:eastAsia="zh-CN"/>
        </w:rPr>
        <w:t>采购</w:t>
      </w:r>
      <w:r>
        <w:rPr>
          <w:rFonts w:hint="eastAsia"/>
          <w:lang w:val="en-US" w:eastAsia="zh-Hans"/>
        </w:rPr>
        <w:t>人，私自更换场地及项目投入人员的，</w:t>
      </w:r>
      <w:r>
        <w:rPr>
          <w:rFonts w:hint="eastAsia"/>
          <w:lang w:val="en-US" w:eastAsia="zh-CN"/>
        </w:rPr>
        <w:t>采购人</w:t>
      </w:r>
      <w:r>
        <w:rPr>
          <w:rFonts w:hint="eastAsia"/>
          <w:lang w:val="en-US" w:eastAsia="zh-Hans"/>
        </w:rPr>
        <w:t>有权终止合同，并更换</w:t>
      </w:r>
      <w:r>
        <w:rPr>
          <w:rFonts w:hint="eastAsia"/>
          <w:lang w:val="en-US" w:eastAsia="zh-CN"/>
        </w:rPr>
        <w:t>中标供应商</w:t>
      </w:r>
      <w:r>
        <w:rPr>
          <w:rFonts w:hint="eastAsia"/>
          <w:lang w:val="en-US" w:eastAsia="zh-Hans"/>
        </w:rPr>
        <w:t>。</w:t>
      </w:r>
    </w:p>
    <w:p w14:paraId="1F1839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lang w:val="en-US" w:eastAsia="zh-Hans"/>
        </w:rPr>
      </w:pPr>
      <w:r>
        <w:rPr>
          <w:rFonts w:hint="eastAsia"/>
          <w:lang w:val="en-US" w:eastAsia="zh-CN"/>
        </w:rPr>
        <w:t>4</w:t>
      </w:r>
      <w:r>
        <w:rPr>
          <w:rFonts w:hint="eastAsia"/>
          <w:lang w:val="en-US" w:eastAsia="zh-Hans"/>
        </w:rPr>
        <w:t>.7因</w:t>
      </w:r>
      <w:r>
        <w:rPr>
          <w:rFonts w:hint="eastAsia"/>
          <w:lang w:val="en-US" w:eastAsia="zh-CN"/>
        </w:rPr>
        <w:t>中标供应商</w:t>
      </w:r>
      <w:r>
        <w:rPr>
          <w:rFonts w:hint="eastAsia"/>
          <w:lang w:val="en-US" w:eastAsia="zh-Hans"/>
        </w:rPr>
        <w:t>原因发生重大质量事故，除依约承担赔偿责任外，还将按有关办法规定执行。同时，</w:t>
      </w:r>
      <w:r>
        <w:rPr>
          <w:rFonts w:hint="eastAsia"/>
          <w:lang w:val="en-US" w:eastAsia="zh-CN"/>
        </w:rPr>
        <w:t>采购人</w:t>
      </w:r>
      <w:r>
        <w:rPr>
          <w:rFonts w:hint="eastAsia"/>
          <w:lang w:val="en-US" w:eastAsia="zh-Hans"/>
        </w:rPr>
        <w:t>有权更换</w:t>
      </w:r>
      <w:r>
        <w:rPr>
          <w:rFonts w:hint="eastAsia"/>
          <w:lang w:val="en-US" w:eastAsia="zh-CN"/>
        </w:rPr>
        <w:t>中标供应商</w:t>
      </w:r>
      <w:r>
        <w:rPr>
          <w:rFonts w:hint="eastAsia"/>
          <w:lang w:val="en-US" w:eastAsia="zh-Hans"/>
        </w:rPr>
        <w:t>，并报相关行政主管部门处罚。</w:t>
      </w:r>
    </w:p>
    <w:p w14:paraId="5C70D9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lang w:val="en-US" w:eastAsia="zh-Hans"/>
        </w:rPr>
      </w:pPr>
      <w:r>
        <w:rPr>
          <w:rFonts w:hint="eastAsia"/>
          <w:lang w:val="en-US" w:eastAsia="zh-CN"/>
        </w:rPr>
        <w:t>4</w:t>
      </w:r>
      <w:r>
        <w:rPr>
          <w:rFonts w:hint="eastAsia"/>
          <w:lang w:val="en-US" w:eastAsia="zh-Hans"/>
        </w:rPr>
        <w:t>.8若发生死亡安全事故，除按国家有关安全管理规定及</w:t>
      </w:r>
      <w:r>
        <w:rPr>
          <w:rFonts w:hint="eastAsia"/>
          <w:lang w:val="en-US" w:eastAsia="zh-CN"/>
        </w:rPr>
        <w:t>采购人</w:t>
      </w:r>
      <w:r>
        <w:rPr>
          <w:rFonts w:hint="eastAsia"/>
          <w:lang w:val="en-US" w:eastAsia="zh-Hans"/>
        </w:rPr>
        <w:t>有关安全管理办法执行外，并报相关行政主管部门处罚；发生重大安全事故或特大安全事故，除按国家有关安全管理规定及</w:t>
      </w:r>
      <w:r>
        <w:rPr>
          <w:rFonts w:hint="eastAsia"/>
          <w:lang w:val="en-US" w:eastAsia="zh-CN"/>
        </w:rPr>
        <w:t>采购人</w:t>
      </w:r>
      <w:r>
        <w:rPr>
          <w:rFonts w:hint="eastAsia"/>
          <w:lang w:val="en-US" w:eastAsia="zh-Hans"/>
        </w:rPr>
        <w:t>有关安全管理办法执行外，</w:t>
      </w:r>
      <w:r>
        <w:rPr>
          <w:rFonts w:hint="eastAsia"/>
          <w:lang w:val="en-US" w:eastAsia="zh-CN"/>
        </w:rPr>
        <w:t>采购人</w:t>
      </w:r>
      <w:r>
        <w:rPr>
          <w:rFonts w:hint="eastAsia"/>
          <w:lang w:val="en-US" w:eastAsia="zh-Hans"/>
        </w:rPr>
        <w:t>有权终止合同，给</w:t>
      </w:r>
      <w:r>
        <w:rPr>
          <w:rFonts w:hint="eastAsia"/>
          <w:lang w:val="en-US" w:eastAsia="zh-CN"/>
        </w:rPr>
        <w:t>采购人</w:t>
      </w:r>
      <w:r>
        <w:rPr>
          <w:rFonts w:hint="eastAsia"/>
          <w:lang w:val="en-US" w:eastAsia="zh-Hans"/>
        </w:rPr>
        <w:t>造成的损失，还应承担赔偿责任。</w:t>
      </w:r>
    </w:p>
    <w:p w14:paraId="10F5A6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lang w:val="en-US" w:eastAsia="zh-CN"/>
        </w:rPr>
      </w:pPr>
      <w:r>
        <w:rPr>
          <w:rFonts w:hint="eastAsia"/>
          <w:lang w:val="en-US" w:eastAsia="zh-CN"/>
        </w:rPr>
        <w:t>4</w:t>
      </w:r>
      <w:r>
        <w:rPr>
          <w:rFonts w:hint="eastAsia"/>
          <w:lang w:val="en-US" w:eastAsia="zh-Hans"/>
        </w:rPr>
        <w:t>.9在明确违约责任后，</w:t>
      </w:r>
      <w:r>
        <w:rPr>
          <w:rFonts w:hint="eastAsia"/>
          <w:lang w:val="en-US" w:eastAsia="zh-CN"/>
        </w:rPr>
        <w:t>中标供应商</w:t>
      </w:r>
      <w:r>
        <w:rPr>
          <w:rFonts w:hint="eastAsia"/>
          <w:lang w:val="en-US" w:eastAsia="zh-Hans"/>
        </w:rPr>
        <w:t>应在接到书面通知书起七天内支付违约金、赔偿金等。</w:t>
      </w:r>
    </w:p>
    <w:p w14:paraId="0E3BAB54">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left"/>
        <w:textAlignment w:val="auto"/>
        <w:rPr>
          <w:rFonts w:hint="eastAsia"/>
          <w:lang w:val="en-US" w:eastAsia="zh-CN"/>
        </w:rPr>
      </w:pPr>
      <w:r>
        <w:rPr>
          <w:rFonts w:hint="eastAsia"/>
          <w:lang w:val="en-US" w:eastAsia="zh-CN"/>
        </w:rPr>
        <w:t>其他：</w:t>
      </w:r>
    </w:p>
    <w:p w14:paraId="3D52D4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lang w:val="en-US" w:eastAsia="zh-Hans"/>
        </w:rPr>
      </w:pPr>
      <w:r>
        <w:rPr>
          <w:rFonts w:hint="eastAsia"/>
          <w:lang w:val="en-US" w:eastAsia="zh-CN"/>
        </w:rPr>
        <w:t>5</w:t>
      </w:r>
      <w:r>
        <w:rPr>
          <w:rFonts w:hint="eastAsia"/>
          <w:lang w:val="en-US" w:eastAsia="zh-Hans"/>
        </w:rPr>
        <w:t>.1本项目不允许</w:t>
      </w:r>
      <w:r>
        <w:rPr>
          <w:rFonts w:hint="eastAsia"/>
          <w:lang w:val="en-US" w:eastAsia="zh-CN"/>
        </w:rPr>
        <w:t>中标供应商</w:t>
      </w:r>
      <w:r>
        <w:rPr>
          <w:rFonts w:hint="eastAsia"/>
          <w:lang w:val="en-US" w:eastAsia="zh-Hans"/>
        </w:rPr>
        <w:t>以任何名义和理由在入围后将项目的主体、非主体、关键性工作、非关键性工作进行转包、分包。在履行合同过程中如有发现，</w:t>
      </w:r>
      <w:r>
        <w:rPr>
          <w:rFonts w:hint="eastAsia"/>
          <w:lang w:val="en-US" w:eastAsia="zh-CN"/>
        </w:rPr>
        <w:t>采购人</w:t>
      </w:r>
      <w:r>
        <w:rPr>
          <w:rFonts w:hint="eastAsia"/>
          <w:lang w:val="en-US" w:eastAsia="zh-Hans"/>
        </w:rPr>
        <w:t>有权单方终止合同。视为</w:t>
      </w:r>
      <w:r>
        <w:rPr>
          <w:rFonts w:hint="eastAsia"/>
          <w:lang w:val="en-US" w:eastAsia="zh-CN"/>
        </w:rPr>
        <w:t>中标供应商</w:t>
      </w:r>
      <w:r>
        <w:rPr>
          <w:rFonts w:hint="eastAsia"/>
          <w:lang w:val="en-US" w:eastAsia="zh-Hans"/>
        </w:rPr>
        <w:t>违约，</w:t>
      </w:r>
      <w:r>
        <w:rPr>
          <w:rFonts w:hint="eastAsia"/>
          <w:lang w:val="en-US" w:eastAsia="zh-CN"/>
        </w:rPr>
        <w:t>中标供应商</w:t>
      </w:r>
      <w:r>
        <w:rPr>
          <w:rFonts w:hint="eastAsia"/>
          <w:lang w:val="en-US" w:eastAsia="zh-Hans"/>
        </w:rPr>
        <w:t>违约对</w:t>
      </w:r>
      <w:r>
        <w:rPr>
          <w:rFonts w:hint="eastAsia"/>
          <w:lang w:val="en-US" w:eastAsia="zh-CN"/>
        </w:rPr>
        <w:t>采购人</w:t>
      </w:r>
      <w:r>
        <w:rPr>
          <w:rFonts w:hint="eastAsia"/>
          <w:lang w:val="en-US" w:eastAsia="zh-Hans"/>
        </w:rPr>
        <w:t>造成的损失的，需另行支付相应的赔偿，并追究相关法律责任。</w:t>
      </w:r>
    </w:p>
    <w:p w14:paraId="3D668C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firstLine="420" w:firstLineChars="200"/>
        <w:jc w:val="left"/>
        <w:textAlignment w:val="auto"/>
        <w:rPr>
          <w:rFonts w:hint="eastAsia"/>
          <w:lang w:val="en-US" w:eastAsia="zh-CN"/>
        </w:rPr>
      </w:pPr>
      <w:r>
        <w:rPr>
          <w:rFonts w:hint="eastAsia"/>
          <w:lang w:val="en-US" w:eastAsia="zh-CN"/>
        </w:rPr>
        <w:t>5</w:t>
      </w:r>
      <w:r>
        <w:rPr>
          <w:rFonts w:hint="eastAsia"/>
          <w:lang w:val="en-US" w:eastAsia="zh-Hans"/>
        </w:rPr>
        <w:t>.2本</w:t>
      </w:r>
      <w:r>
        <w:rPr>
          <w:rFonts w:hint="eastAsia"/>
          <w:lang w:val="en-US" w:eastAsia="zh-CN"/>
        </w:rPr>
        <w:t>采购</w:t>
      </w:r>
      <w:r>
        <w:rPr>
          <w:rFonts w:hint="eastAsia"/>
          <w:lang w:val="en-US" w:eastAsia="zh-Hans"/>
        </w:rPr>
        <w:t>文件未明确的其它约定事项或条款，待</w:t>
      </w:r>
      <w:r>
        <w:rPr>
          <w:rFonts w:hint="eastAsia"/>
          <w:lang w:val="en-US" w:eastAsia="zh-CN"/>
        </w:rPr>
        <w:t>采购人</w:t>
      </w:r>
      <w:r>
        <w:rPr>
          <w:rFonts w:hint="eastAsia"/>
          <w:lang w:val="en-US" w:eastAsia="zh-Hans"/>
        </w:rPr>
        <w:t>与</w:t>
      </w:r>
      <w:r>
        <w:rPr>
          <w:rFonts w:hint="eastAsia"/>
          <w:lang w:val="en-US" w:eastAsia="zh-CN"/>
        </w:rPr>
        <w:t>中标供应商</w:t>
      </w:r>
      <w:r>
        <w:rPr>
          <w:rFonts w:hint="eastAsia"/>
          <w:lang w:val="en-US" w:eastAsia="zh-Hans"/>
        </w:rPr>
        <w:t>签订合同时，由双方协商订立。</w:t>
      </w:r>
    </w:p>
    <w:p w14:paraId="7C0092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r>
        <w:rPr>
          <w:rFonts w:hint="eastAsia" w:ascii="宋体" w:hAnsi="宋体" w:eastAsia="宋体" w:cs="宋体"/>
          <w:b/>
          <w:bCs/>
          <w:i w:val="0"/>
          <w:iCs w:val="0"/>
          <w:caps w:val="0"/>
          <w:color w:val="auto"/>
          <w:spacing w:val="0"/>
          <w:sz w:val="39"/>
          <w:szCs w:val="39"/>
          <w:shd w:val="clear" w:fill="FFFFFF"/>
        </w:rPr>
        <w:br w:type="textWrapping"/>
      </w:r>
    </w:p>
    <w:p w14:paraId="03660B9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7445DC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2CEEB5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4F24BF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3294E1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37297C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462651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2776A59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3C4FD6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322ECF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4D7750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62F63F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25B491EE">
      <w:pPr>
        <w:rPr>
          <w:rFonts w:hint="eastAsia" w:ascii="宋体" w:hAnsi="宋体" w:eastAsia="宋体" w:cs="宋体"/>
          <w:b/>
          <w:bCs/>
          <w:i w:val="0"/>
          <w:iCs w:val="0"/>
          <w:caps w:val="0"/>
          <w:color w:val="auto"/>
          <w:spacing w:val="0"/>
          <w:sz w:val="39"/>
          <w:szCs w:val="39"/>
          <w:shd w:val="clear" w:fill="FFFFFF"/>
        </w:rPr>
      </w:pPr>
    </w:p>
    <w:p w14:paraId="19DD5FF4">
      <w:pPr>
        <w:pStyle w:val="10"/>
        <w:rPr>
          <w:rFonts w:hint="eastAsia" w:ascii="宋体" w:hAnsi="宋体" w:eastAsia="宋体" w:cs="宋体"/>
          <w:b/>
          <w:bCs/>
          <w:i w:val="0"/>
          <w:iCs w:val="0"/>
          <w:caps w:val="0"/>
          <w:color w:val="auto"/>
          <w:spacing w:val="0"/>
          <w:sz w:val="39"/>
          <w:szCs w:val="39"/>
          <w:shd w:val="clear" w:fill="FFFFFF"/>
        </w:rPr>
      </w:pPr>
    </w:p>
    <w:p w14:paraId="750890A7">
      <w:pPr>
        <w:pStyle w:val="11"/>
        <w:rPr>
          <w:rFonts w:hint="eastAsia"/>
        </w:rPr>
      </w:pPr>
    </w:p>
    <w:p w14:paraId="61A832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shd w:val="clear" w:fill="FFFFFF"/>
        </w:rPr>
      </w:pPr>
    </w:p>
    <w:p w14:paraId="0D2FD2D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rPr>
      </w:pPr>
      <w:r>
        <w:rPr>
          <w:rFonts w:hint="eastAsia" w:ascii="宋体" w:hAnsi="宋体" w:eastAsia="宋体" w:cs="宋体"/>
          <w:b/>
          <w:bCs/>
          <w:i w:val="0"/>
          <w:iCs w:val="0"/>
          <w:caps w:val="0"/>
          <w:color w:val="auto"/>
          <w:spacing w:val="0"/>
          <w:sz w:val="39"/>
          <w:szCs w:val="39"/>
          <w:shd w:val="clear" w:fill="FFFFFF"/>
        </w:rPr>
        <w:t>第六章 政府采购合同</w:t>
      </w:r>
    </w:p>
    <w:p w14:paraId="702EC8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参考文本</w:t>
      </w:r>
    </w:p>
    <w:p w14:paraId="06CE1B4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righ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合同编号：</w:t>
      </w:r>
    </w:p>
    <w:p w14:paraId="322DB022">
      <w:pPr>
        <w:jc w:val="center"/>
        <w:outlineLvl w:val="2"/>
        <w:rPr>
          <w:rFonts w:hint="eastAsia" w:ascii="Calibri" w:hAnsi="Calibri" w:eastAsia="宋体" w:cs="Times New Roman"/>
          <w:lang w:val="en-US" w:eastAsia="zh-Hans"/>
        </w:rPr>
      </w:pPr>
      <w:r>
        <w:rPr>
          <w:rFonts w:hint="eastAsia" w:ascii="Calibri" w:hAnsi="Calibri" w:eastAsia="宋体" w:cs="Times New Roman"/>
          <w:b/>
          <w:sz w:val="28"/>
          <w:lang w:val="en-US" w:eastAsia="zh-Hans"/>
        </w:rPr>
        <w:t>参考文本</w:t>
      </w:r>
    </w:p>
    <w:p w14:paraId="289D62B1">
      <w:pPr>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合同编号：</w:t>
      </w:r>
    </w:p>
    <w:p w14:paraId="43168E55">
      <w:pPr>
        <w:jc w:val="center"/>
        <w:outlineLvl w:val="1"/>
        <w:rPr>
          <w:rFonts w:hint="eastAsia" w:ascii="Calibri" w:hAnsi="Calibri" w:eastAsia="宋体" w:cs="Times New Roman"/>
          <w:lang w:val="en-US" w:eastAsia="zh-Hans"/>
        </w:rPr>
      </w:pPr>
      <w:r>
        <w:rPr>
          <w:rFonts w:hint="eastAsia" w:ascii="Calibri" w:hAnsi="Calibri" w:eastAsia="宋体" w:cs="Times New Roman"/>
          <w:b/>
          <w:sz w:val="36"/>
          <w:lang w:val="en-US" w:eastAsia="zh-Hans"/>
        </w:rPr>
        <w:t xml:space="preserve"> 福建省政府采购合同（服务类）</w:t>
      </w:r>
    </w:p>
    <w:p w14:paraId="28AF0B13">
      <w:pPr>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编制说明</w:t>
      </w:r>
      <w:r>
        <w:rPr>
          <w:rFonts w:hint="eastAsia" w:ascii="Calibri" w:hAnsi="Calibri" w:eastAsia="宋体" w:cs="Times New Roman"/>
          <w:lang w:val="en-US" w:eastAsia="zh-Hans"/>
        </w:rPr>
        <w:br w:type="textWrapping"/>
      </w:r>
    </w:p>
    <w:p w14:paraId="69BBEC8F">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1.签订合同应遵守《中华人民共和国政府采购法》及其实施条例、《中华人民共和国民法典》等法律法规及其他有关规定。</w:t>
      </w:r>
    </w:p>
    <w:p w14:paraId="6E64A7F6">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2.签订合同时，采购人与中标(成交)人应结合采购文件规定填列相应内容。采购文件已有约定的，双方均不得对约定进行变更或调整；采购文件未作规定的，双方可通过友好协商进行约定。</w:t>
      </w:r>
    </w:p>
    <w:p w14:paraId="3A995297">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3.政府有关主管部门对若干合同有规范文本的，可使用相应合同文本。</w:t>
      </w:r>
    </w:p>
    <w:p w14:paraId="21CD6EFD">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4.本合同范本仅供参考，采购人应当根据采购项目的实际需求对合同条款进行修改、补充。</w:t>
      </w:r>
    </w:p>
    <w:p w14:paraId="0657615C">
      <w:pPr>
        <w:spacing w:line="360" w:lineRule="auto"/>
        <w:ind w:left="0"/>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甲方：</w:t>
      </w:r>
    </w:p>
    <w:p w14:paraId="4ED74719">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住所地：________________</w:t>
      </w:r>
    </w:p>
    <w:p w14:paraId="1BDFC1CA">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联系人：________________</w:t>
      </w:r>
    </w:p>
    <w:p w14:paraId="1CB89BFE">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联系电话：______________</w:t>
      </w:r>
    </w:p>
    <w:p w14:paraId="72BAE2E7">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传真：________________</w:t>
      </w:r>
    </w:p>
    <w:p w14:paraId="3235E974">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电子邮箱：________________</w:t>
      </w:r>
      <w:r>
        <w:rPr>
          <w:rFonts w:hint="eastAsia" w:ascii="Calibri" w:hAnsi="Calibri" w:eastAsia="宋体" w:cs="Times New Roman"/>
          <w:sz w:val="22"/>
          <w:szCs w:val="22"/>
          <w:lang w:val="en-US" w:eastAsia="zh-Hans"/>
        </w:rPr>
        <w:br w:type="textWrapping"/>
      </w:r>
      <w:r>
        <w:rPr>
          <w:rFonts w:hint="eastAsia" w:ascii="Calibri" w:hAnsi="Calibri" w:eastAsia="宋体" w:cs="Times New Roman"/>
          <w:sz w:val="22"/>
          <w:szCs w:val="22"/>
          <w:lang w:val="en-US" w:eastAsia="zh-Hans"/>
        </w:rPr>
        <w:t xml:space="preserve"> 乙方： ________________</w:t>
      </w:r>
    </w:p>
    <w:p w14:paraId="24551184">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住所地： ________________</w:t>
      </w:r>
    </w:p>
    <w:p w14:paraId="42C6CDC6">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联系人：______________</w:t>
      </w:r>
    </w:p>
    <w:p w14:paraId="3C8811BE">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联系电话：______________</w:t>
      </w:r>
    </w:p>
    <w:p w14:paraId="33A5EEA4">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传真：________________</w:t>
      </w:r>
    </w:p>
    <w:p w14:paraId="4579E949">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电子邮箱：________________</w:t>
      </w:r>
    </w:p>
    <w:p w14:paraId="0C7759B5">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根据项目编号为___________ 的 __________项目（以下简称：“本项目”）的采购结果，遵循平等、自愿、公平和诚实信用的原则，双方签署本合同，具体内容如下：</w:t>
      </w:r>
    </w:p>
    <w:p w14:paraId="4A831694">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一、合同组成部分</w:t>
      </w:r>
    </w:p>
    <w:p w14:paraId="3BD87BFF">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1.1本合同条款及附件；</w:t>
      </w:r>
    </w:p>
    <w:p w14:paraId="62DF955B">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1.2采购文件及其附件、补充文件；</w:t>
      </w:r>
    </w:p>
    <w:p w14:paraId="2D65DD23">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1.3乙方的响应文件及其附件、补充文件；</w:t>
      </w:r>
    </w:p>
    <w:p w14:paraId="7A5CCE80">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1.4其他文件或材料：</w:t>
      </w:r>
    </w:p>
    <w:p w14:paraId="4D9058D7">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二、合同标的</w:t>
      </w:r>
      <w:r>
        <w:rPr>
          <w:rFonts w:hint="eastAsia" w:ascii="Calibri" w:hAnsi="Calibri" w:eastAsia="宋体" w:cs="Times New Roman"/>
          <w:lang w:val="en-US" w:eastAsia="zh-Hans"/>
        </w:rPr>
        <w:br w:type="textWrapping"/>
      </w:r>
    </w:p>
    <w:p w14:paraId="3BCFC473">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三、价格形式及合同价款</w:t>
      </w:r>
    </w:p>
    <w:p w14:paraId="0C33906A">
      <w:pPr>
        <w:spacing w:line="360" w:lineRule="auto"/>
        <w:jc w:val="left"/>
        <w:outlineLvl w:val="4"/>
        <w:rPr>
          <w:rFonts w:hint="eastAsia" w:ascii="Calibri" w:hAnsi="Calibri" w:eastAsia="宋体" w:cs="Times New Roman"/>
          <w:sz w:val="22"/>
          <w:szCs w:val="22"/>
          <w:lang w:val="en-US" w:eastAsia="zh-Hans"/>
        </w:rPr>
      </w:pPr>
      <w:r>
        <w:rPr>
          <w:rFonts w:hint="eastAsia" w:ascii="Calibri" w:hAnsi="Calibri" w:eastAsia="宋体" w:cs="Times New Roman"/>
          <w:b/>
          <w:sz w:val="22"/>
          <w:szCs w:val="22"/>
          <w:lang w:val="en-US" w:eastAsia="zh-Hans"/>
        </w:rPr>
        <w:t xml:space="preserve"> 3.1价格形式</w:t>
      </w:r>
    </w:p>
    <w:p w14:paraId="19131C8B">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固定单价合同。完成约定服务事项的含税合同单价为：人民币（大写）元（￥ _____________元）。</w:t>
      </w:r>
    </w:p>
    <w:p w14:paraId="50BF7DDC">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固定总价合同。完成约定服务事项的含税服务费用为：人民币（大写）元（￥_____________ 元）。</w:t>
      </w:r>
    </w:p>
    <w:p w14:paraId="2034B637">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其他方式。</w:t>
      </w:r>
    </w:p>
    <w:p w14:paraId="5F3FC02F">
      <w:pPr>
        <w:spacing w:line="360" w:lineRule="auto"/>
        <w:jc w:val="left"/>
        <w:outlineLvl w:val="4"/>
        <w:rPr>
          <w:rFonts w:hint="eastAsia" w:ascii="Calibri" w:hAnsi="Calibri" w:eastAsia="宋体" w:cs="Times New Roman"/>
          <w:sz w:val="22"/>
          <w:szCs w:val="22"/>
          <w:lang w:val="en-US" w:eastAsia="zh-Hans"/>
        </w:rPr>
      </w:pPr>
      <w:r>
        <w:rPr>
          <w:rFonts w:hint="eastAsia" w:ascii="Calibri" w:hAnsi="Calibri" w:eastAsia="宋体" w:cs="Times New Roman"/>
          <w:b/>
          <w:sz w:val="22"/>
          <w:szCs w:val="22"/>
          <w:lang w:val="en-US" w:eastAsia="zh-Hans"/>
        </w:rPr>
        <w:t xml:space="preserve"> 3.2合同价款包含范围</w:t>
      </w:r>
    </w:p>
    <w:p w14:paraId="1512E7C5">
      <w:pPr>
        <w:spacing w:line="360" w:lineRule="auto"/>
        <w:jc w:val="left"/>
        <w:outlineLvl w:val="4"/>
        <w:rPr>
          <w:rFonts w:hint="eastAsia" w:ascii="Calibri" w:hAnsi="Calibri" w:eastAsia="宋体" w:cs="Times New Roman"/>
          <w:sz w:val="22"/>
          <w:szCs w:val="22"/>
          <w:lang w:val="en-US" w:eastAsia="zh-Hans"/>
        </w:rPr>
      </w:pPr>
      <w:r>
        <w:rPr>
          <w:rFonts w:hint="eastAsia" w:ascii="Calibri" w:hAnsi="Calibri" w:eastAsia="宋体" w:cs="Times New Roman"/>
          <w:b/>
          <w:sz w:val="22"/>
          <w:szCs w:val="22"/>
          <w:lang w:val="en-US" w:eastAsia="zh-Hans"/>
        </w:rPr>
        <w:t xml:space="preserve"> 3.3其他需说明的事项：</w:t>
      </w:r>
    </w:p>
    <w:p w14:paraId="35F20FFB">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四、合同标的及服务范围、地点和时间</w:t>
      </w:r>
    </w:p>
    <w:p w14:paraId="0F6B93FF">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4.1项目名称： _____________</w:t>
      </w:r>
    </w:p>
    <w:p w14:paraId="6CEE4B8D">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4.2服务范围：_____________</w:t>
      </w:r>
    </w:p>
    <w:p w14:paraId="65246E0D">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4.3服务地点：_____________</w:t>
      </w:r>
    </w:p>
    <w:p w14:paraId="50E9F17E">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4.4服务完成时间：_____________</w:t>
      </w:r>
    </w:p>
    <w:p w14:paraId="575CC5CD">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五、服务内容、质量标准和要求</w:t>
      </w:r>
    </w:p>
    <w:p w14:paraId="22D054B1">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5.1服务工作量的计量方式：_____________</w:t>
      </w:r>
    </w:p>
    <w:p w14:paraId="115D9FE3">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5.2服务内容：_____________</w:t>
      </w:r>
    </w:p>
    <w:p w14:paraId="33E5979E">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5.3技术保障、服务人员组成、所涉及的货物的质量标准：</w:t>
      </w:r>
    </w:p>
    <w:p w14:paraId="06B0B02E">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（1）服务技术保障：_____________</w:t>
      </w:r>
    </w:p>
    <w:p w14:paraId="694DDA81">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（2）服务人员组成：_____________</w:t>
      </w:r>
    </w:p>
    <w:p w14:paraId="4C4E3031">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（3）服务设备及物资投入及质量标准：_____________</w:t>
      </w:r>
    </w:p>
    <w:p w14:paraId="2D9668C3">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5.4服务质量标准及要求：</w:t>
      </w:r>
    </w:p>
    <w:p w14:paraId="23392782">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355DF09">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8CD7D1F">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5.4.3其他要求：</w:t>
      </w:r>
    </w:p>
    <w:p w14:paraId="57795D95">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六、服务履约验收或考核</w:t>
      </w:r>
    </w:p>
    <w:p w14:paraId="14054509">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70F6F4E">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七、甲方的权利与义务</w:t>
      </w:r>
    </w:p>
    <w:p w14:paraId="096D1A16">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7.1甲方委派___________为联系人，联系方式 ___________，负责与乙方联系。如甲方联系人发生变更，甲方应书面告知乙方。</w:t>
      </w:r>
    </w:p>
    <w:p w14:paraId="336FED61">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7.2甲方应为乙方开展服务工作提供必要的工作条件，以及对内对外沟通和配合协助。</w:t>
      </w:r>
    </w:p>
    <w:p w14:paraId="7B2CD1E8">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7.3甲方应于___________之前提供服务所需的全部资料，并对所提供材料真实性、完整性、合法性负责。</w:t>
      </w:r>
    </w:p>
    <w:p w14:paraId="01C84DBB">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FF90A9D">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7.5甲方应按本合同约定及时足额支付服务费用及相关费用。</w:t>
      </w:r>
    </w:p>
    <w:p w14:paraId="1E15F407">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7.6其他</w:t>
      </w:r>
    </w:p>
    <w:p w14:paraId="307A74FE">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八、乙方的权利与义务</w:t>
      </w:r>
    </w:p>
    <w:p w14:paraId="7E959FBD">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8.1乙方委派___________为联系人，联系方式 ___________，负责与甲方联系。如乙方联系人发生变更，乙方应书面告知甲方</w:t>
      </w:r>
    </w:p>
    <w:p w14:paraId="76A7F67A">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8.2乙方应国家法律法规和{{乙方的权利与义务-响应要求-福建}}等要求开展{{乙方的权利与义务-开展服务-福建}}服务；</w:t>
      </w:r>
    </w:p>
    <w:p w14:paraId="77200B37">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8.3乙方及其所委派服务人员应按标准或协议约定方式出具服务成果，并对其真实性和合法性负法律责任；</w:t>
      </w:r>
    </w:p>
    <w:p w14:paraId="408BE894">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8.4乙方对执行业务过程中知悉的国家秘密或甲方的商业秘密保密。除非国家法律法规及行业规范另有规定,或经甲方同意,乙方不得将其知悉的商业秘密和甲方提供的资料对外泄露。</w:t>
      </w:r>
    </w:p>
    <w:p w14:paraId="3A0AC73E">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8.5乙方对服务业务应当单独建档，保存完整的工作记录，并对服务过程使用和暂存甲方的文件、材料和财物应当妥善保管。</w:t>
      </w:r>
    </w:p>
    <w:p w14:paraId="6CBBFFFD">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8.6服务工作结束后,乙方将根据情况对甲方服务相关的管理制度及其他事项等提出改进意见。</w:t>
      </w:r>
    </w:p>
    <w:p w14:paraId="01114F3C">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8.7乙方完全遵守《中华人民共和国劳动合同法》有关规定和《中华人民共和国妇女权益保障法》中关于“劳动和社会保障权益”的有关要求。</w:t>
      </w:r>
    </w:p>
    <w:p w14:paraId="7643A30E">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8.8其他</w:t>
      </w:r>
    </w:p>
    <w:p w14:paraId="38A21618">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九、资金支付方式、时间和条件</w:t>
      </w:r>
      <w:r>
        <w:rPr>
          <w:rFonts w:hint="eastAsia" w:ascii="Calibri" w:hAnsi="Calibri" w:eastAsia="宋体" w:cs="Times New Roman"/>
          <w:lang w:val="en-US" w:eastAsia="zh-Hans"/>
        </w:rPr>
        <w:br w:type="textWrapping"/>
      </w:r>
    </w:p>
    <w:p w14:paraId="16709790">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十、履约保证金</w:t>
      </w:r>
    </w:p>
    <w:p w14:paraId="0C5AB149">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□有，□无。具体如下：（按照采购文件规定填写）。</w:t>
      </w:r>
    </w:p>
    <w:p w14:paraId="767BFD6C">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10.1乙方向甲方缴纳人民币 / 元作为本合同的履约保证金。</w:t>
      </w:r>
    </w:p>
    <w:p w14:paraId="3C19D4F2">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10.2履约保证金缴纳形式：支票/汇票/电汇/保函等非现金形式。</w:t>
      </w:r>
    </w:p>
    <w:p w14:paraId="5742B58D">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10.3履约保证金合同履行完毕前有效，合同履行完毕后一次性结清退还。</w:t>
      </w:r>
    </w:p>
    <w:p w14:paraId="5D645437">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十一、合同期限</w:t>
      </w:r>
      <w:r>
        <w:rPr>
          <w:rFonts w:hint="eastAsia" w:ascii="Calibri" w:hAnsi="Calibri" w:eastAsia="宋体" w:cs="Times New Roman"/>
          <w:lang w:val="en-US" w:eastAsia="zh-Hans"/>
        </w:rPr>
        <w:br w:type="textWrapping"/>
      </w:r>
    </w:p>
    <w:p w14:paraId="3BAEC75D">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十二、保密条款</w:t>
      </w:r>
    </w:p>
    <w:p w14:paraId="13FA1FBE">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12.1对于在采购和合同履行过程中所获悉的属于保密的内容，甲、乙双方均负有保密义务。</w:t>
      </w:r>
    </w:p>
    <w:p w14:paraId="00D36AF7">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12.2其他</w:t>
      </w:r>
    </w:p>
    <w:p w14:paraId="69AFE240">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十三、违约责任</w:t>
      </w:r>
    </w:p>
    <w:p w14:paraId="6754D376">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13.1甲方违约责任</w:t>
      </w:r>
    </w:p>
    <w:p w14:paraId="65AD1DBA">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（1）甲方无正当理由拒绝乙方提供合格服务的，甲方应向乙方偿付所拒收合同总价________的违约金</w:t>
      </w:r>
    </w:p>
    <w:p w14:paraId="51349B9F">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（2）甲方无故逾期验收和办理合同款项支付手续的,甲方应按逾期付款总额每日________向乙方支付违约金。</w:t>
      </w:r>
    </w:p>
    <w:p w14:paraId="6FC54C14">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（3）其他违约情形</w:t>
      </w:r>
    </w:p>
    <w:p w14:paraId="30A87F62">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13.2乙方违约责任</w:t>
      </w:r>
    </w:p>
    <w:p w14:paraId="135820BE">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（1）乙方逾期履行服务的，乙方应按逾期交付总额每日________向甲方支付违约金，由甲方从待付货款中扣除。乙方无正当理由逾期超过约定日期________仍不能交付的，视为“乙方不按合同约定履约”；</w:t>
      </w:r>
    </w:p>
    <w:p w14:paraId="6692E242">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（2）乙方所履行的服务不符合合同规定及《采购文件》规定标准的，甲方有权拒绝，乙方愿意整改但逾期履行的，按乙方逾期履行处理。乙方拒绝整改的，视为“乙方不按合同约定履约”</w:t>
      </w:r>
    </w:p>
    <w:p w14:paraId="10AAD251">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（3）乙方不按合同约定履约的，甲方可以解除采购合同，并对乙方已缴纳的履约保证金作“不予退还”处理。同时，乙方须按以下约定向甲方支付违约金：</w:t>
      </w:r>
    </w:p>
    <w:p w14:paraId="548058E4">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（4）其他违约情形</w:t>
      </w:r>
    </w:p>
    <w:p w14:paraId="4367D8D5">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十四、不可抗力事件处理</w:t>
      </w:r>
    </w:p>
    <w:p w14:paraId="0EEE9DFD">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0308BFC">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十五、解决争议的方法</w:t>
      </w:r>
    </w:p>
    <w:p w14:paraId="57CE17AD">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15.1甲、乙双方协商解决。</w:t>
      </w:r>
    </w:p>
    <w:p w14:paraId="20E2C4DB">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15.2若协商解决不成，双方明确按以下第_种方式解决：</w:t>
      </w:r>
    </w:p>
    <w:p w14:paraId="1C63F943">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1、提交仲裁委员会仲裁，具体如下：</w:t>
      </w:r>
    </w:p>
    <w:p w14:paraId="2EDE3EDA">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2、向人民法院提起诉讼。</w:t>
      </w:r>
    </w:p>
    <w:p w14:paraId="43EDD9B7">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十六、合同其他条款</w:t>
      </w:r>
      <w:r>
        <w:rPr>
          <w:rFonts w:hint="eastAsia" w:ascii="Calibri" w:hAnsi="Calibri" w:eastAsia="宋体" w:cs="Times New Roman"/>
          <w:lang w:val="en-US" w:eastAsia="zh-Hans"/>
        </w:rPr>
        <w:br w:type="textWrapping"/>
      </w:r>
    </w:p>
    <w:p w14:paraId="4DA23A0B">
      <w:pPr>
        <w:spacing w:line="360" w:lineRule="auto"/>
        <w:jc w:val="left"/>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 xml:space="preserve"> 十七、其他约定</w:t>
      </w:r>
    </w:p>
    <w:p w14:paraId="0E93BD5F">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17.1合同文件与本合同具有同等法律效力。</w:t>
      </w:r>
    </w:p>
    <w:p w14:paraId="027FE071">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17.2合同生效：合同经双方法定代表人或委托代理人签字并加盖单位公章后生效。</w:t>
      </w:r>
    </w:p>
    <w:p w14:paraId="11D6ABFF">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17.3本合同未尽事宜，遵照《中华人民共和国民法典》有关条文执行。</w:t>
      </w:r>
    </w:p>
    <w:p w14:paraId="02177E2C">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17.4本合同正本一式_______份，具有同等法律效力，甲方、乙方各执_______份；副本_______份，_______</w:t>
      </w:r>
    </w:p>
    <w:p w14:paraId="7C66A7FD">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17.5本合同已用于政府采购合同融资，为本项目提供合同融资的金融机构为：_______，甲方应及时将资金支付到本合同乙方账号。</w:t>
      </w:r>
    </w:p>
    <w:p w14:paraId="1528882B">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中标（成交）供应商应于采购合同签订之日起_______内，向发放政采贷的金融机构提交政府采购中标（成交）通知书和政府采购合同，贷款金额以政府采购合同金额为限。</w:t>
      </w:r>
    </w:p>
    <w:p w14:paraId="6ADBBDAF">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17.6其他</w:t>
      </w:r>
    </w:p>
    <w:p w14:paraId="4DA1A37A">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b/>
          <w:sz w:val="24"/>
          <w:lang w:val="en-US" w:eastAsia="zh-Hans"/>
        </w:rPr>
        <w:t xml:space="preserve"> 十八、合同附件</w:t>
      </w:r>
      <w:r>
        <w:rPr>
          <w:rFonts w:hint="eastAsia" w:ascii="Calibri" w:hAnsi="Calibri" w:eastAsia="宋体" w:cs="Times New Roman"/>
          <w:lang w:val="en-US" w:eastAsia="zh-Hans"/>
        </w:rPr>
        <w:br w:type="textWrapping"/>
      </w:r>
      <w:r>
        <w:rPr>
          <w:rFonts w:hint="eastAsia" w:ascii="Calibri" w:hAnsi="Calibri" w:eastAsia="宋体" w:cs="Times New Roman"/>
          <w:sz w:val="22"/>
          <w:szCs w:val="22"/>
          <w:lang w:val="en-US" w:eastAsia="zh-Hans"/>
        </w:rPr>
        <w:t xml:space="preserve"> 甲方（采购人）：</w:t>
      </w:r>
      <w:r>
        <w:rPr>
          <w:rFonts w:hint="eastAsia" w:ascii="Calibri" w:hAnsi="Calibri" w:eastAsia="宋体" w:cs="Times New Roman"/>
          <w:sz w:val="22"/>
          <w:szCs w:val="22"/>
          <w:lang w:val="en-US" w:eastAsia="zh-CN"/>
        </w:rPr>
        <w:t xml:space="preserve">                             </w:t>
      </w:r>
      <w:r>
        <w:rPr>
          <w:rFonts w:hint="eastAsia" w:ascii="Calibri" w:hAnsi="Calibri" w:eastAsia="宋体" w:cs="Times New Roman"/>
          <w:sz w:val="22"/>
          <w:szCs w:val="22"/>
          <w:lang w:val="en-US" w:eastAsia="zh-Hans"/>
        </w:rPr>
        <w:t>乙方（中标或成交人）：</w:t>
      </w:r>
    </w:p>
    <w:p w14:paraId="796161A8">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法定（授权）代表人：</w:t>
      </w:r>
      <w:r>
        <w:rPr>
          <w:rFonts w:hint="eastAsia" w:ascii="Calibri" w:hAnsi="Calibri" w:eastAsia="宋体" w:cs="Times New Roman"/>
          <w:sz w:val="22"/>
          <w:szCs w:val="22"/>
          <w:lang w:val="en-US" w:eastAsia="zh-CN"/>
        </w:rPr>
        <w:t xml:space="preserve">                         </w:t>
      </w:r>
      <w:r>
        <w:rPr>
          <w:rFonts w:hint="eastAsia" w:ascii="Calibri" w:hAnsi="Calibri" w:eastAsia="宋体" w:cs="Times New Roman"/>
          <w:sz w:val="22"/>
          <w:szCs w:val="22"/>
          <w:lang w:val="en-US" w:eastAsia="zh-Hans"/>
        </w:rPr>
        <w:t>法定（授权）代表人：</w:t>
      </w:r>
    </w:p>
    <w:p w14:paraId="661A5AD1">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纳税人识别号：</w:t>
      </w:r>
      <w:r>
        <w:rPr>
          <w:rFonts w:hint="eastAsia" w:ascii="Calibri" w:hAnsi="Calibri" w:eastAsia="宋体" w:cs="Times New Roman"/>
          <w:sz w:val="22"/>
          <w:szCs w:val="22"/>
          <w:lang w:val="en-US" w:eastAsia="zh-CN"/>
        </w:rPr>
        <w:t xml:space="preserve">                               </w:t>
      </w:r>
      <w:r>
        <w:rPr>
          <w:rFonts w:hint="eastAsia" w:ascii="Calibri" w:hAnsi="Calibri" w:eastAsia="宋体" w:cs="Times New Roman"/>
          <w:sz w:val="22"/>
          <w:szCs w:val="22"/>
          <w:lang w:val="en-US" w:eastAsia="zh-Hans"/>
        </w:rPr>
        <w:t>纳税人识别号：</w:t>
      </w:r>
    </w:p>
    <w:p w14:paraId="5B72BF6C">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开户银行：</w:t>
      </w:r>
      <w:r>
        <w:rPr>
          <w:rFonts w:hint="eastAsia" w:ascii="Calibri" w:hAnsi="Calibri" w:eastAsia="宋体" w:cs="Times New Roman"/>
          <w:sz w:val="22"/>
          <w:szCs w:val="22"/>
          <w:lang w:val="en-US" w:eastAsia="zh-CN"/>
        </w:rPr>
        <w:t xml:space="preserve">                                   </w:t>
      </w:r>
      <w:r>
        <w:rPr>
          <w:rFonts w:hint="eastAsia" w:ascii="Calibri" w:hAnsi="Calibri" w:eastAsia="宋体" w:cs="Times New Roman"/>
          <w:sz w:val="22"/>
          <w:szCs w:val="22"/>
          <w:lang w:val="en-US" w:eastAsia="zh-Hans"/>
        </w:rPr>
        <w:t>开户银行：</w:t>
      </w:r>
    </w:p>
    <w:p w14:paraId="413DA41B">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账号：</w:t>
      </w:r>
      <w:r>
        <w:rPr>
          <w:rFonts w:hint="eastAsia" w:ascii="Calibri" w:hAnsi="Calibri" w:eastAsia="宋体" w:cs="Times New Roman"/>
          <w:sz w:val="22"/>
          <w:szCs w:val="22"/>
          <w:lang w:val="en-US" w:eastAsia="zh-CN"/>
        </w:rPr>
        <w:t xml:space="preserve">                                       </w:t>
      </w:r>
      <w:r>
        <w:rPr>
          <w:rFonts w:hint="eastAsia" w:ascii="Calibri" w:hAnsi="Calibri" w:eastAsia="宋体" w:cs="Times New Roman"/>
          <w:sz w:val="22"/>
          <w:szCs w:val="22"/>
          <w:lang w:val="en-US" w:eastAsia="zh-Hans"/>
        </w:rPr>
        <w:t>账号：</w:t>
      </w:r>
    </w:p>
    <w:p w14:paraId="3D1D13A5">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 xml:space="preserve"> </w:t>
      </w:r>
    </w:p>
    <w:p w14:paraId="36A9FF01">
      <w:pPr>
        <w:spacing w:line="360" w:lineRule="auto"/>
        <w:jc w:val="left"/>
        <w:rPr>
          <w:rFonts w:hint="eastAsia" w:ascii="Calibri" w:hAnsi="Calibri" w:eastAsia="宋体" w:cs="Times New Roman"/>
          <w:sz w:val="22"/>
          <w:szCs w:val="22"/>
          <w:lang w:val="en-US" w:eastAsia="zh-Hans"/>
        </w:rPr>
      </w:pPr>
      <w:r>
        <w:rPr>
          <w:rFonts w:hint="eastAsia" w:ascii="Calibri" w:hAnsi="Calibri" w:eastAsia="宋体" w:cs="Times New Roman"/>
          <w:sz w:val="22"/>
          <w:szCs w:val="22"/>
          <w:lang w:val="en-US" w:eastAsia="zh-Hans"/>
        </w:rPr>
        <w:t>签订地点：_____________</w:t>
      </w:r>
    </w:p>
    <w:p w14:paraId="10755C32">
      <w:pPr>
        <w:spacing w:line="360" w:lineRule="auto"/>
        <w:jc w:val="left"/>
        <w:rPr>
          <w:rFonts w:hint="eastAsia" w:ascii="宋体" w:hAnsi="宋体" w:eastAsia="宋体" w:cs="宋体"/>
          <w:b/>
          <w:bCs/>
          <w:i w:val="0"/>
          <w:iCs w:val="0"/>
          <w:caps w:val="0"/>
          <w:color w:val="auto"/>
          <w:spacing w:val="0"/>
          <w:sz w:val="39"/>
          <w:szCs w:val="39"/>
          <w:shd w:val="clear" w:fill="FFFFFF"/>
        </w:rPr>
      </w:pPr>
      <w:r>
        <w:rPr>
          <w:rFonts w:hint="eastAsia" w:ascii="Calibri" w:hAnsi="Calibri" w:eastAsia="宋体" w:cs="Times New Roman"/>
          <w:sz w:val="22"/>
          <w:szCs w:val="22"/>
          <w:lang w:val="en-US" w:eastAsia="zh-Hans"/>
        </w:rPr>
        <w:t>签订日期：____年___月___日</w:t>
      </w:r>
    </w:p>
    <w:p w14:paraId="40C079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39"/>
          <w:szCs w:val="39"/>
        </w:rPr>
      </w:pPr>
      <w:r>
        <w:rPr>
          <w:rFonts w:hint="eastAsia" w:ascii="宋体" w:hAnsi="宋体" w:eastAsia="宋体" w:cs="宋体"/>
          <w:b/>
          <w:bCs/>
          <w:i w:val="0"/>
          <w:iCs w:val="0"/>
          <w:caps w:val="0"/>
          <w:color w:val="auto"/>
          <w:spacing w:val="0"/>
          <w:sz w:val="39"/>
          <w:szCs w:val="39"/>
          <w:shd w:val="clear" w:fill="FFFFFF"/>
        </w:rPr>
        <w:t>第七章 投标文件格式</w:t>
      </w:r>
    </w:p>
    <w:p w14:paraId="3E8939F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编制说明</w:t>
      </w:r>
    </w:p>
    <w:p w14:paraId="633A2E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1、除招标文件另有规定外，本章中：</w:t>
      </w:r>
    </w:p>
    <w:p w14:paraId="285671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1.1涉及投标人的“全称”：</w:t>
      </w:r>
    </w:p>
    <w:p w14:paraId="22108B6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（1）不接受联合体投标的，指投标人的全称。</w:t>
      </w:r>
    </w:p>
    <w:p w14:paraId="56B4A5E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（2）接受联合体投标且投标人为联合体的，指牵头方的全称并加注（联合体牵头方），即应表述为：“牵头方的全称（联合体牵头方）”。</w:t>
      </w:r>
    </w:p>
    <w:p w14:paraId="2603B6D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1.2涉及投标人“加盖单位公章”：</w:t>
      </w:r>
    </w:p>
    <w:p w14:paraId="65144CB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（1）不接受联合体投标的，指加盖投标人的单位公章。</w:t>
      </w:r>
    </w:p>
    <w:p w14:paraId="39C1A7A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（2）接受联合体投标且投标人为联合体的，指加盖联合体牵头方的单位公章。</w:t>
      </w:r>
    </w:p>
    <w:p w14:paraId="71F9452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1.3涉及“投标人代表签字”：</w:t>
      </w:r>
    </w:p>
    <w:p w14:paraId="240A480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（1）不接受联合体投标的，指由投标人的单位负责人或其授权的委托代理人签字，由委托代理人签字的，应提供“单位授权书”。</w:t>
      </w:r>
    </w:p>
    <w:p w14:paraId="0AF1F5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（2）接受联合体投标且投标人为联合体的，指由联合体牵头方的单位负责人或其授权的委托代理人签字，由委托代理人签字的，应提供“单位授权书”。</w:t>
      </w:r>
    </w:p>
    <w:p w14:paraId="0E16642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1.4“其他组织”指合伙企业、非企业专业服务机构、个体工商户、农村承包经营户等。</w:t>
      </w:r>
    </w:p>
    <w:p w14:paraId="58E2EAB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1.5“自然人”指具有完全民事行为能力、能够承担民事责任和义务的中国公民。</w:t>
      </w:r>
    </w:p>
    <w:p w14:paraId="611DD74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2、除招标文件另有规定外，本章中“投标人的资格及资信证明文件”：</w:t>
      </w:r>
    </w:p>
    <w:p w14:paraId="1237A8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2.1投标人应按照招标文件第四章第1.3条第（2）款规定及本章规定进行编制，如有必要，可增加附页，附页作为资格及资信文件的组成部分。</w:t>
      </w:r>
    </w:p>
    <w:p w14:paraId="4F11518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2.2接受联合体投标且投标人为联合体的，联合体中的各方均应按照本章第2.1条规定提交相应的全部资料。</w:t>
      </w:r>
    </w:p>
    <w:p w14:paraId="758A37F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3、投标人对</w:t>
      </w:r>
      <w:r>
        <w:rPr>
          <w:rFonts w:hint="eastAsia" w:ascii="宋体" w:hAnsi="宋体" w:eastAsia="宋体" w:cs="宋体"/>
          <w:color w:val="auto"/>
          <w:lang w:eastAsia="zh-CN"/>
        </w:rPr>
        <w:t>投标文件</w:t>
      </w:r>
      <w:r>
        <w:rPr>
          <w:rFonts w:hint="eastAsia" w:ascii="宋体" w:hAnsi="宋体" w:eastAsia="宋体" w:cs="宋体"/>
          <w:color w:val="auto"/>
        </w:rPr>
        <w:t>的索引应编制页码。</w:t>
      </w:r>
    </w:p>
    <w:p w14:paraId="003982D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4、本章提供格式仅供参考，投标人应根据自身实际情况制作投标文件。</w:t>
      </w:r>
    </w:p>
    <w:p w14:paraId="55CCC7C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 </w:t>
      </w:r>
    </w:p>
    <w:p w14:paraId="0CA3B7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0974A6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auto"/>
          <w:spacing w:val="0"/>
          <w:sz w:val="27"/>
          <w:szCs w:val="27"/>
          <w:shd w:val="clear" w:fill="FFFFFF"/>
        </w:rPr>
      </w:pPr>
    </w:p>
    <w:p w14:paraId="405ACCFD">
      <w:pPr>
        <w:rPr>
          <w:rFonts w:hint="eastAsia" w:ascii="宋体" w:hAnsi="宋体" w:eastAsia="宋体" w:cs="宋体"/>
          <w:b/>
          <w:bCs/>
          <w:i w:val="0"/>
          <w:iCs w:val="0"/>
          <w:caps w:val="0"/>
          <w:color w:val="auto"/>
          <w:spacing w:val="0"/>
          <w:sz w:val="27"/>
          <w:szCs w:val="27"/>
          <w:shd w:val="clear" w:fill="FFFFFF"/>
        </w:rPr>
      </w:pPr>
    </w:p>
    <w:p w14:paraId="2C41F3F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封面格式(资格及资信证明部分)</w:t>
      </w:r>
    </w:p>
    <w:p w14:paraId="718645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78"/>
          <w:szCs w:val="78"/>
        </w:rPr>
      </w:pPr>
      <w:r>
        <w:rPr>
          <w:rFonts w:hint="eastAsia" w:ascii="宋体" w:hAnsi="宋体" w:eastAsia="宋体" w:cs="宋体"/>
          <w:b/>
          <w:bCs/>
          <w:color w:val="auto"/>
          <w:sz w:val="78"/>
          <w:szCs w:val="78"/>
        </w:rPr>
        <w:t>福建省政府采购投标文件</w:t>
      </w:r>
    </w:p>
    <w:p w14:paraId="7BA720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78"/>
          <w:szCs w:val="78"/>
        </w:rPr>
      </w:pPr>
      <w:r>
        <w:rPr>
          <w:rFonts w:hint="eastAsia" w:ascii="宋体" w:hAnsi="宋体" w:eastAsia="宋体" w:cs="宋体"/>
          <w:b/>
          <w:bCs/>
          <w:color w:val="auto"/>
          <w:sz w:val="78"/>
          <w:szCs w:val="78"/>
        </w:rPr>
        <w:t>（资格及资信证明部分）</w:t>
      </w:r>
    </w:p>
    <w:p w14:paraId="798CDBB5">
      <w:pPr>
        <w:keepNext w:val="0"/>
        <w:keepLines w:val="0"/>
        <w:widowControl/>
        <w:suppressLineNumbers w:val="0"/>
        <w:spacing w:after="240" w:afterAutospacing="0"/>
        <w:jc w:val="left"/>
        <w:rPr>
          <w:color w:val="auto"/>
        </w:rPr>
      </w:pPr>
    </w:p>
    <w:p w14:paraId="1D0B010F">
      <w:pPr>
        <w:keepNext w:val="0"/>
        <w:keepLines w:val="0"/>
        <w:widowControl/>
        <w:suppressLineNumbers w:val="0"/>
        <w:spacing w:after="240" w:afterAutospacing="0"/>
        <w:jc w:val="left"/>
        <w:rPr>
          <w:color w:val="auto"/>
        </w:rPr>
      </w:pPr>
    </w:p>
    <w:p w14:paraId="7111A2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9"/>
          <w:szCs w:val="39"/>
        </w:rPr>
      </w:pPr>
      <w:r>
        <w:rPr>
          <w:rFonts w:hint="eastAsia" w:ascii="宋体" w:hAnsi="宋体" w:eastAsia="宋体" w:cs="宋体"/>
          <w:b/>
          <w:bCs/>
          <w:color w:val="auto"/>
          <w:sz w:val="39"/>
          <w:szCs w:val="39"/>
        </w:rPr>
        <w:t>（填写正本或副本）</w:t>
      </w:r>
    </w:p>
    <w:p w14:paraId="5492639D">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0E57D0C4">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2678BDF6">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52E4B408">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32CC1E3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（项目名称：（由投标人填写）</w:t>
      </w:r>
    </w:p>
    <w:p w14:paraId="25E529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（备案编号：（由投标人填写）</w:t>
      </w:r>
    </w:p>
    <w:p w14:paraId="4820104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（项目编号：（由投标人填写）</w:t>
      </w:r>
    </w:p>
    <w:p w14:paraId="0FCE1A2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（所投采购包：（由投标人填写）</w:t>
      </w:r>
    </w:p>
    <w:p w14:paraId="08398DE8">
      <w:pPr>
        <w:keepNext w:val="0"/>
        <w:keepLines w:val="0"/>
        <w:widowControl/>
        <w:suppressLineNumbers w:val="0"/>
        <w:spacing w:after="240" w:afterAutospacing="0"/>
        <w:jc w:val="left"/>
        <w:rPr>
          <w:color w:val="auto"/>
        </w:rPr>
      </w:pPr>
    </w:p>
    <w:p w14:paraId="7963FF2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投标人：（填写“全称”）</w:t>
      </w:r>
    </w:p>
    <w:p w14:paraId="2235D0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（由投标人填写）年（由投标人填写）月</w:t>
      </w:r>
    </w:p>
    <w:p w14:paraId="566EB1C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 </w:t>
      </w:r>
    </w:p>
    <w:p w14:paraId="587A700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04A9414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3BB5516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02B0B01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3AF02D3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i w:val="0"/>
          <w:iCs w:val="0"/>
          <w:caps w:val="0"/>
          <w:color w:val="auto"/>
          <w:spacing w:val="0"/>
          <w:sz w:val="21"/>
          <w:szCs w:val="21"/>
          <w:shd w:val="clear" w:fill="FFFFFF"/>
        </w:rPr>
      </w:pPr>
    </w:p>
    <w:p w14:paraId="526DC6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45E1CD1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索引</w:t>
      </w:r>
    </w:p>
    <w:p w14:paraId="2C43C4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一、投标函</w:t>
      </w:r>
    </w:p>
    <w:p w14:paraId="705184B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二、投标人的资格及资信证明文件</w:t>
      </w:r>
    </w:p>
    <w:p w14:paraId="7F150C6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三、投标保证金</w:t>
      </w:r>
    </w:p>
    <w:p w14:paraId="38348C3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5B94C21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资格及资信证明部分中不得出现报价部分的全部或部分的投标报价信息（或组成资料），否则资格审查不合格。（联合体协议及分包意向协议中的比例规定，不适用本条款）</w:t>
      </w:r>
    </w:p>
    <w:p w14:paraId="535AE54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 </w:t>
      </w:r>
    </w:p>
    <w:p w14:paraId="305DAAF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一、投标函</w:t>
      </w:r>
    </w:p>
    <w:p w14:paraId="377F484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357FD19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兹收到贵单位关于</w:t>
      </w:r>
      <w:r>
        <w:rPr>
          <w:rFonts w:hint="eastAsia" w:ascii="宋体" w:hAnsi="宋体" w:eastAsia="宋体" w:cs="宋体"/>
          <w:color w:val="auto"/>
          <w:u w:val="single"/>
        </w:rPr>
        <w:t>（填写“项目名称”） </w:t>
      </w:r>
      <w:r>
        <w:rPr>
          <w:rFonts w:hint="eastAsia" w:ascii="宋体" w:hAnsi="宋体" w:eastAsia="宋体" w:cs="宋体"/>
          <w:color w:val="auto"/>
        </w:rPr>
        <w:t>项目</w:t>
      </w:r>
      <w:r>
        <w:rPr>
          <w:rFonts w:hint="eastAsia" w:ascii="宋体" w:hAnsi="宋体" w:eastAsia="宋体" w:cs="宋体"/>
          <w:color w:val="auto"/>
          <w:u w:val="single"/>
        </w:rPr>
        <w:t>（项目编号：　　　　　） </w:t>
      </w:r>
      <w:r>
        <w:rPr>
          <w:rFonts w:hint="eastAsia" w:ascii="宋体" w:hAnsi="宋体" w:eastAsia="宋体" w:cs="宋体"/>
          <w:color w:val="auto"/>
        </w:rPr>
        <w:t>的投标邀请，本投标人代表</w:t>
      </w:r>
      <w:r>
        <w:rPr>
          <w:rFonts w:hint="eastAsia" w:ascii="宋体" w:hAnsi="宋体" w:eastAsia="宋体" w:cs="宋体"/>
          <w:color w:val="auto"/>
          <w:u w:val="single"/>
        </w:rPr>
        <w:t>（填写“全名”） </w:t>
      </w:r>
      <w:r>
        <w:rPr>
          <w:rFonts w:hint="eastAsia" w:ascii="宋体" w:hAnsi="宋体" w:eastAsia="宋体" w:cs="宋体"/>
          <w:color w:val="auto"/>
        </w:rPr>
        <w:t>已获得我方正式授权并代表投标人（填写“全称”）参加投标，并提交</w:t>
      </w:r>
      <w:r>
        <w:rPr>
          <w:rFonts w:hint="eastAsia" w:ascii="宋体" w:hAnsi="宋体" w:eastAsia="宋体" w:cs="宋体"/>
          <w:color w:val="auto"/>
          <w:lang w:eastAsia="zh-CN"/>
        </w:rPr>
        <w:t>投标文件</w:t>
      </w:r>
      <w:r>
        <w:rPr>
          <w:rFonts w:hint="eastAsia" w:ascii="宋体" w:hAnsi="宋体" w:eastAsia="宋体" w:cs="宋体"/>
          <w:color w:val="auto"/>
        </w:rPr>
        <w:t>。我方提交的全部</w:t>
      </w:r>
      <w:r>
        <w:rPr>
          <w:rFonts w:hint="eastAsia" w:ascii="宋体" w:hAnsi="宋体" w:eastAsia="宋体" w:cs="宋体"/>
          <w:color w:val="auto"/>
          <w:lang w:eastAsia="zh-CN"/>
        </w:rPr>
        <w:t>投标文件</w:t>
      </w:r>
      <w:r>
        <w:rPr>
          <w:rFonts w:hint="eastAsia" w:ascii="宋体" w:hAnsi="宋体" w:eastAsia="宋体" w:cs="宋体"/>
          <w:color w:val="auto"/>
        </w:rPr>
        <w:t>由下述部分组成：</w:t>
      </w:r>
    </w:p>
    <w:p w14:paraId="5EB3D86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（1）资格及资信证明部分</w:t>
      </w:r>
    </w:p>
    <w:p w14:paraId="6307E89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①投标函</w:t>
      </w:r>
    </w:p>
    <w:p w14:paraId="785D686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②投标人的资格及资信证明文件</w:t>
      </w:r>
    </w:p>
    <w:p w14:paraId="68DC0E1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③投标保证金</w:t>
      </w:r>
    </w:p>
    <w:p w14:paraId="4327E7A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（2）报价部分</w:t>
      </w:r>
    </w:p>
    <w:p w14:paraId="00CFB60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①开标一览表</w:t>
      </w:r>
    </w:p>
    <w:p w14:paraId="282A0E4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②投标分项报价表</w:t>
      </w:r>
    </w:p>
    <w:p w14:paraId="5ED804D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③招标文件规定的价格扣除证明材料（若有）</w:t>
      </w:r>
    </w:p>
    <w:p w14:paraId="30E0617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④招标文件规定的加分证明材料（若有）</w:t>
      </w:r>
    </w:p>
    <w:p w14:paraId="6FD8D0E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（3）技术商务部分</w:t>
      </w:r>
    </w:p>
    <w:p w14:paraId="34C6434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①标的说明一览表</w:t>
      </w:r>
    </w:p>
    <w:p w14:paraId="1A46DAB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②技术和服务要求响应表</w:t>
      </w:r>
    </w:p>
    <w:p w14:paraId="3D23A38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③商务条件响应表</w:t>
      </w:r>
    </w:p>
    <w:p w14:paraId="705F4AA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④投标人提交的其他资料（若有）</w:t>
      </w:r>
    </w:p>
    <w:p w14:paraId="2868D95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根据本函，本投标人代表宣布我方保证遵守招标文件的全部规定，同时：</w:t>
      </w:r>
    </w:p>
    <w:p w14:paraId="4A1564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1、确认：</w:t>
      </w:r>
    </w:p>
    <w:p w14:paraId="752C11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1.1所投采购包的投标报价详见“开标一览表”及“投标分项报价表”。</w:t>
      </w:r>
    </w:p>
    <w:p w14:paraId="1221DDB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1.2我方已详细审查全部招标文件[包括但不限于：有关附件（若有）、澄清或修改（若有）等]，并自行承担因对全部招标文件理解不正确或误解而产生的相应后果和责任。</w:t>
      </w:r>
    </w:p>
    <w:p w14:paraId="416A8FC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2、承诺及声明：</w:t>
      </w:r>
    </w:p>
    <w:p w14:paraId="7779F0A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2.1我方具备招标文件第一章载明的“投标人的资格要求”且符合招标文件第三章载明的“二、投标人”之规定，否则投标无效。</w:t>
      </w:r>
    </w:p>
    <w:p w14:paraId="3123BA3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2.2我方提交的</w:t>
      </w:r>
      <w:r>
        <w:rPr>
          <w:rFonts w:hint="eastAsia" w:ascii="宋体" w:hAnsi="宋体" w:eastAsia="宋体" w:cs="宋体"/>
          <w:color w:val="auto"/>
          <w:lang w:eastAsia="zh-CN"/>
        </w:rPr>
        <w:t>投标文件</w:t>
      </w:r>
      <w:r>
        <w:rPr>
          <w:rFonts w:hint="eastAsia" w:ascii="宋体" w:hAnsi="宋体" w:eastAsia="宋体" w:cs="宋体"/>
          <w:color w:val="auto"/>
        </w:rPr>
        <w:t>各组成部分的全部内容及资料是不可割离且真实、有效、准确、完整和不具有任何误导性的，否则产生不利后果由我方承担责任。</w:t>
      </w:r>
    </w:p>
    <w:p w14:paraId="1FFFB08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2.3我方提供的标的价格不高于同期市场价格，否则产生不利后果由我方承担责任。</w:t>
      </w:r>
    </w:p>
    <w:p w14:paraId="68ACCF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2.4投标保证金：若出现招标文件第三章规定的不予退还情形，同意贵单位不予退还。</w:t>
      </w:r>
    </w:p>
    <w:p w14:paraId="5315C28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2.5投标有效期：按照招标文件第三章规定执行，并在招标文件第二章载明的期限内保持有效。</w:t>
      </w:r>
    </w:p>
    <w:p w14:paraId="11029F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2.6若中标，将按照招标文件、我方</w:t>
      </w:r>
      <w:r>
        <w:rPr>
          <w:rFonts w:hint="eastAsia" w:ascii="宋体" w:hAnsi="宋体" w:eastAsia="宋体" w:cs="宋体"/>
          <w:color w:val="auto"/>
          <w:lang w:eastAsia="zh-CN"/>
        </w:rPr>
        <w:t>投标文件</w:t>
      </w:r>
      <w:r>
        <w:rPr>
          <w:rFonts w:hint="eastAsia" w:ascii="宋体" w:hAnsi="宋体" w:eastAsia="宋体" w:cs="宋体"/>
          <w:color w:val="auto"/>
        </w:rPr>
        <w:t>及政府采购合同履行责任和义务。</w:t>
      </w:r>
    </w:p>
    <w:p w14:paraId="22113AF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2.7若贵单位要求，我方同意提供与本项目投标有关的一切资料、数据或文件，并完全理解贵单位不一定要接受最低的投标报价或收到的任何投标。</w:t>
      </w:r>
    </w:p>
    <w:p w14:paraId="2D313EF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2.8我方承诺</w:t>
      </w:r>
      <w:r>
        <w:rPr>
          <w:rFonts w:hint="eastAsia" w:ascii="宋体" w:hAnsi="宋体" w:eastAsia="宋体" w:cs="宋体"/>
          <w:color w:val="auto"/>
          <w:lang w:eastAsia="zh-CN"/>
        </w:rPr>
        <w:t>投标文件</w:t>
      </w:r>
      <w:r>
        <w:rPr>
          <w:rFonts w:hint="eastAsia" w:ascii="宋体" w:hAnsi="宋体" w:eastAsia="宋体" w:cs="宋体"/>
          <w:color w:val="auto"/>
        </w:rPr>
        <w:t>所提供的全部资料真实可靠，并接受评标委员会、采购人、采购代理机构、监管部门进一步审查其中任何资料真实性的要求。</w:t>
      </w:r>
    </w:p>
    <w:p w14:paraId="101523E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2.9除招标文件另有规定外，对于贵单位按照下述联络方式发出的任何信息或通知，均视为我方已收悉前述信息或通知的全部内容：</w:t>
      </w:r>
    </w:p>
    <w:p w14:paraId="4BEA4DB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通信地址：                                        </w:t>
      </w:r>
    </w:p>
    <w:p w14:paraId="55EAF4A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邮编：                                           </w:t>
      </w:r>
    </w:p>
    <w:p w14:paraId="660E6A1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联系方法：（包括但不限于：联系人、联系电话、手机、传真、电子邮箱等）</w:t>
      </w:r>
    </w:p>
    <w:p w14:paraId="7764160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投标人：（全称并加盖单位公章）</w:t>
      </w:r>
    </w:p>
    <w:p w14:paraId="556961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日期：    年   月   日</w:t>
      </w:r>
    </w:p>
    <w:p w14:paraId="2F8C2E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 </w:t>
      </w:r>
    </w:p>
    <w:p w14:paraId="04CF09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7FC1F0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6756C60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i w:val="0"/>
          <w:iCs w:val="0"/>
          <w:caps w:val="0"/>
          <w:color w:val="auto"/>
          <w:spacing w:val="0"/>
          <w:sz w:val="21"/>
          <w:szCs w:val="21"/>
          <w:shd w:val="clear" w:fill="FFFFFF"/>
        </w:rPr>
      </w:pPr>
    </w:p>
    <w:p w14:paraId="6F6506F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6F6443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二、投标人的资格及资信证明文件</w:t>
      </w:r>
    </w:p>
    <w:p w14:paraId="758ADF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二-1单位授权书（若有）</w:t>
      </w:r>
    </w:p>
    <w:p w14:paraId="4906F41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652AD5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（填写“投标人代表全名”）</w:t>
      </w:r>
      <w:r>
        <w:rPr>
          <w:rFonts w:hint="eastAsia" w:ascii="宋体" w:hAnsi="宋体" w:eastAsia="宋体" w:cs="宋体"/>
          <w:color w:val="auto"/>
        </w:rPr>
        <w:t>为投标人代表，代表我方参加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）的投标，全权代表我方处理投标过程的一切事宜，包括但不限于：投标、参加开标、</w:t>
      </w:r>
      <w:r>
        <w:rPr>
          <w:rFonts w:hint="eastAsia" w:ascii="宋体" w:hAnsi="宋体" w:eastAsia="宋体" w:cs="宋体"/>
          <w:color w:val="auto"/>
          <w:lang w:eastAsia="zh-CN"/>
        </w:rPr>
        <w:t>谈判、</w:t>
      </w:r>
      <w:r>
        <w:rPr>
          <w:rFonts w:hint="eastAsia" w:ascii="宋体" w:hAnsi="宋体" w:eastAsia="宋体" w:cs="宋体"/>
          <w:color w:val="auto"/>
        </w:rPr>
        <w:t>澄清、签约等。投标人代表在投标过程中所签署的一切文件和处理与之有关的一切事务，我方均予以认可并对此承担责任。</w:t>
      </w:r>
    </w:p>
    <w:p w14:paraId="302310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投标人代表无转委权。特此授权。</w:t>
      </w:r>
    </w:p>
    <w:p w14:paraId="4F64CD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（以下无正文）</w:t>
      </w:r>
    </w:p>
    <w:p w14:paraId="21FC1C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19D16B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投标人代表：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5BB5E2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授权方</w:t>
      </w:r>
    </w:p>
    <w:p w14:paraId="711086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C1CC8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单位负责人签字或盖章：</w:t>
      </w:r>
      <w:r>
        <w:rPr>
          <w:rFonts w:hint="eastAsia" w:ascii="宋体" w:hAnsi="宋体" w:eastAsia="宋体" w:cs="宋体"/>
          <w:color w:val="auto"/>
          <w:u w:val="single"/>
        </w:rPr>
        <w:t>　　　　　</w:t>
      </w:r>
    </w:p>
    <w:p w14:paraId="0512ED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接受授权方</w:t>
      </w:r>
    </w:p>
    <w:p w14:paraId="6DECEA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14:paraId="1D3562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jc w:val="right"/>
        <w:textAlignment w:val="auto"/>
        <w:rPr>
          <w:rFonts w:hint="eastAsia" w:ascii="宋体" w:hAnsi="宋体" w:eastAsia="宋体" w:cs="宋体"/>
          <w:color w:val="auto"/>
        </w:rPr>
      </w:pPr>
      <w:r>
        <w:rPr>
          <w:rFonts w:hint="eastAsia" w:ascii="宋体" w:hAnsi="宋体" w:eastAsia="宋体" w:cs="宋体"/>
          <w:color w:val="auto"/>
        </w:rPr>
        <w:t>签署日期： 年 月 日</w:t>
      </w:r>
    </w:p>
    <w:p w14:paraId="1806AA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附：单位负责人、投标人代表的身份证正反面复印件</w:t>
      </w:r>
    </w:p>
    <w:p w14:paraId="3AFB1D6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jc w:val="center"/>
        <w:textAlignment w:val="auto"/>
        <w:rPr>
          <w:rFonts w:hint="eastAsia" w:ascii="宋体" w:hAnsi="宋体" w:eastAsia="宋体" w:cs="宋体"/>
          <w:color w:val="auto"/>
        </w:rPr>
      </w:pPr>
      <w:r>
        <w:rPr>
          <w:rFonts w:hint="eastAsia" w:ascii="宋体" w:hAnsi="宋体" w:eastAsia="宋体" w:cs="宋体"/>
          <w:color w:val="auto"/>
        </w:rPr>
        <w:t>要求：真实有效且内容完整、清晰、整洁。</w:t>
      </w:r>
    </w:p>
    <w:p w14:paraId="3AABE82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※注意：</w:t>
      </w:r>
    </w:p>
    <w:p w14:paraId="379897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1、企业（银行、保险、石油石化、电力、电信等行业除外）、事业单位和社会团体法人的“单位负责人”指法定代表人，即与实际提交的“营业执照等证明文件”载明的一致。</w:t>
      </w:r>
    </w:p>
    <w:p w14:paraId="7D4574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B195F4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3、投标人（自然人除外）：若投标人代表为单位授权的委托代理人，应提供本授权书；若投标人代表为单位负责人，应在此项下提交其身份证正反面复印件，可不提供本授权书。</w:t>
      </w:r>
    </w:p>
    <w:p w14:paraId="31F0C4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4、投标人为自然人的，可不填写本授权书。</w:t>
      </w:r>
    </w:p>
    <w:p w14:paraId="17EFB19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201E1828">
      <w:pPr>
        <w:pStyle w:val="37"/>
        <w:ind w:firstLine="3749" w:firstLineChars="1556"/>
        <w:jc w:val="both"/>
        <w:outlineLvl w:val="3"/>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二-2 证明材料</w:t>
      </w:r>
    </w:p>
    <w:p w14:paraId="5491539B">
      <w:pPr>
        <w:pStyle w:val="37"/>
        <w:ind w:firstLine="3749" w:firstLineChars="1556"/>
        <w:jc w:val="both"/>
        <w:outlineLvl w:val="3"/>
        <w:rPr>
          <w:rFonts w:hint="eastAsia" w:asciiTheme="majorEastAsia" w:hAnsiTheme="majorEastAsia" w:eastAsiaTheme="majorEastAsia" w:cstheme="majorEastAsia"/>
          <w:b/>
          <w:sz w:val="24"/>
          <w:szCs w:val="24"/>
        </w:rPr>
      </w:pPr>
    </w:p>
    <w:p w14:paraId="5242285F">
      <w:pPr>
        <w:pStyle w:val="37"/>
        <w:ind w:firstLine="48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3824F61">
      <w:pPr>
        <w:pStyle w:val="37"/>
        <w:ind w:firstLine="960"/>
        <w:jc w:val="center"/>
        <w:outlineLvl w:val="3"/>
        <w:rPr>
          <w:rFonts w:hint="eastAsia" w:asciiTheme="majorEastAsia" w:hAnsiTheme="majorEastAsia" w:eastAsiaTheme="majorEastAsia" w:cstheme="majorEastAsia"/>
          <w:b/>
          <w:sz w:val="24"/>
        </w:rPr>
      </w:pPr>
    </w:p>
    <w:p w14:paraId="579CA773">
      <w:pPr>
        <w:pStyle w:val="37"/>
        <w:ind w:firstLine="960"/>
        <w:jc w:val="center"/>
        <w:outlineLvl w:val="3"/>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二-2-1 福建省政府采购供应商资格承诺函</w:t>
      </w:r>
    </w:p>
    <w:p w14:paraId="60002C14">
      <w:pPr>
        <w:pStyle w:val="37"/>
        <w:ind w:firstLine="960"/>
        <w:jc w:val="center"/>
        <w:outlineLvl w:val="3"/>
        <w:rPr>
          <w:rFonts w:hint="eastAsia" w:asciiTheme="majorEastAsia" w:hAnsiTheme="majorEastAsia" w:eastAsiaTheme="majorEastAsia" w:cstheme="majorEastAsia"/>
          <w:b/>
          <w:sz w:val="24"/>
        </w:rPr>
      </w:pPr>
    </w:p>
    <w:p w14:paraId="5881632D">
      <w:pPr>
        <w:pStyle w:val="37"/>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（采购人或采购代理机构）</w:t>
      </w:r>
    </w:p>
    <w:p w14:paraId="1FA42F1D">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单位名称(自然人姓名):</w:t>
      </w:r>
    </w:p>
    <w:p w14:paraId="36E1C1B3">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统一社会信用代码(自然人身份证号码):</w:t>
      </w:r>
    </w:p>
    <w:p w14:paraId="010BA09A">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法定代表人(负责人):</w:t>
      </w:r>
    </w:p>
    <w:p w14:paraId="16BE01DF">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联系地址和电话:</w:t>
      </w:r>
    </w:p>
    <w:p w14:paraId="4002291F">
      <w:pPr>
        <w:pStyle w:val="37"/>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我单位(本人)自愿参加本次政府采购活动，严格遵守《中华人民共和国政府采购法》及相关法律法规，坚守公开、公平公正和诚实信用等原则，依法诚信经营，并郑重承诺:</w:t>
      </w:r>
    </w:p>
    <w:p w14:paraId="6FD27ED0">
      <w:pPr>
        <w:pStyle w:val="37"/>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一、我单位(本人)具备采购文件要求以及《中华人民共和国政府采购法》第二十二条规定的条件:</w:t>
      </w:r>
    </w:p>
    <w:p w14:paraId="3CAD7E64">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1.具有独立承担民事责任的能力;</w:t>
      </w:r>
    </w:p>
    <w:p w14:paraId="09764AFF">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2.具有良好的商业信誉和健全的财务会计制度;</w:t>
      </w:r>
    </w:p>
    <w:p w14:paraId="02CD0BE8">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3.具有履行合同所必需的设备和专业技术能力;</w:t>
      </w:r>
    </w:p>
    <w:p w14:paraId="48061749">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4.有依法缴纳税收和社会保障资金的良好记录;</w:t>
      </w:r>
    </w:p>
    <w:p w14:paraId="67B89AB8">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5.参加政府采购活动前三年内，在经营活动中没有重大违法记录；</w:t>
      </w:r>
    </w:p>
    <w:p w14:paraId="47417A91">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6.法律、行政法规规定的其他条件。</w:t>
      </w:r>
    </w:p>
    <w:p w14:paraId="6D58DFF3">
      <w:pPr>
        <w:pStyle w:val="37"/>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AE21C29">
      <w:pPr>
        <w:pStyle w:val="37"/>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D9441BA">
      <w:pPr>
        <w:pStyle w:val="37"/>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w:t>
      </w:r>
      <w:r>
        <w:rPr>
          <w:rFonts w:hint="eastAsia" w:asciiTheme="majorEastAsia" w:hAnsiTheme="majorEastAsia" w:eastAsiaTheme="majorEastAsia" w:cstheme="majorEastAsia"/>
          <w:sz w:val="24"/>
          <w:szCs w:val="24"/>
          <w:u w:val="single"/>
        </w:rPr>
        <w:t>名称(单位公章):</w:t>
      </w:r>
    </w:p>
    <w:p w14:paraId="03E16BAF">
      <w:pPr>
        <w:pStyle w:val="37"/>
        <w:ind w:firstLine="48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w:t>
      </w:r>
      <w:r>
        <w:rPr>
          <w:rFonts w:hint="eastAsia" w:asciiTheme="majorEastAsia" w:hAnsiTheme="majorEastAsia" w:eastAsiaTheme="majorEastAsia" w:cstheme="majorEastAsia"/>
          <w:sz w:val="24"/>
          <w:szCs w:val="24"/>
          <w:u w:val="single"/>
        </w:rPr>
        <w:t>　　年　　月　　日</w:t>
      </w:r>
    </w:p>
    <w:p w14:paraId="7D9CE39D">
      <w:pPr>
        <w:pStyle w:val="37"/>
        <w:ind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4A410F94">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1.我单位(本人)专指参加政府采购活动的供应商(含自然人)；</w:t>
      </w:r>
    </w:p>
    <w:p w14:paraId="25A1F64B">
      <w:pPr>
        <w:pStyle w:val="37"/>
        <w:ind w:firstLine="96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2.资格承诺的供应商应在投标(响应)文件中按此模板提供承诺函，否则，视为未按照招标文件规定提交投标人的资格及资信文件，按资格审查不通过处理。</w:t>
      </w:r>
    </w:p>
    <w:p w14:paraId="1235F35A">
      <w:pPr>
        <w:pStyle w:val="37"/>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rPr>
        <w:br w:type="page"/>
      </w:r>
    </w:p>
    <w:p w14:paraId="6E15690D">
      <w:pPr>
        <w:pStyle w:val="37"/>
        <w:ind w:firstLine="960"/>
        <w:jc w:val="center"/>
        <w:outlineLvl w:val="3"/>
        <w:rPr>
          <w:rFonts w:hint="eastAsia" w:ascii="宋体" w:hAnsi="宋体" w:eastAsia="宋体" w:cs="宋体"/>
          <w:color w:val="auto"/>
          <w:sz w:val="24"/>
          <w:szCs w:val="24"/>
        </w:rPr>
      </w:pPr>
      <w:r>
        <w:rPr>
          <w:rFonts w:ascii="仿宋_GB2312" w:hAnsi="仿宋_GB2312" w:eastAsia="仿宋_GB2312" w:cs="仿宋_GB2312"/>
          <w:b/>
          <w:sz w:val="24"/>
        </w:rPr>
        <w:t>二-2-2 资格证明材料</w:t>
      </w:r>
    </w:p>
    <w:p w14:paraId="3F802D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p w14:paraId="70A027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58E064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）投标人为法人（包括企业、事业单位和社会团体）的</w:t>
      </w:r>
    </w:p>
    <w:p w14:paraId="523E554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签发的我方统一社会信用代码（请填写法人的具体证照名称）复印件，该证明材料真实有效，否则我方负全部责任。</w:t>
      </w:r>
    </w:p>
    <w:p w14:paraId="3F8DE35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）投标人为非法人（包括其他组织、自然人）的</w:t>
      </w:r>
    </w:p>
    <w:p w14:paraId="53F02F1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签发的我方（请填写非自然人的非法人的具体证照名称）复印件，该证明材料真实有效，否则我方负全部责任。</w:t>
      </w:r>
    </w:p>
    <w:p w14:paraId="099394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签发的我方（请填写自然人的身份证件名称）复印件，该证明材料真实有效，否则我方负全部责任。</w:t>
      </w:r>
    </w:p>
    <w:p w14:paraId="5C7AD0E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2B93C1B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6460BFB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C22F46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85103A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7C03D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499913B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492157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4A6610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52BEB4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7C04CC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632B37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14B8CE4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color w:val="auto"/>
          <w:sz w:val="24"/>
          <w:szCs w:val="24"/>
        </w:rPr>
      </w:pPr>
    </w:p>
    <w:p w14:paraId="2BC2FFF3">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19249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财务状况报告（财务报告、或资信证明）</w:t>
      </w:r>
    </w:p>
    <w:p w14:paraId="6A305B0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19536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 ）投标人提供财务报告的</w:t>
      </w:r>
    </w:p>
    <w:p w14:paraId="54AB1AB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□企业适用：现附上我方</w:t>
      </w:r>
      <w:r>
        <w:rPr>
          <w:rFonts w:hint="eastAsia" w:ascii="宋体" w:hAnsi="宋体" w:eastAsia="宋体" w:cs="宋体"/>
          <w:color w:val="auto"/>
          <w:u w:val="single"/>
        </w:rPr>
        <w:t>（填写“具体的年度、或半年度、季度”）</w:t>
      </w:r>
      <w:r>
        <w:rPr>
          <w:rFonts w:hint="eastAsia" w:ascii="宋体" w:hAnsi="宋体" w:eastAsia="宋体" w:cs="宋体"/>
          <w:color w:val="auto"/>
        </w:rPr>
        <w:t>财务报告复印件，包括资产负债表、利润表、现金流量表、所有者权益变动表（若有）及其附注（若有）、会计师事务所营业执照和注册会计师资格证书，上述证明材料真实有效，否则我方负全部责任。</w:t>
      </w:r>
    </w:p>
    <w:p w14:paraId="24F740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□事业单位适用：现附上我方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财务报告复印件，包括资产负债表、收入支出表（或收入费用表）、财政补助收入支出表（若有）、会计师事务所营业执照和注册会计师资格证书，上述证明材料真实有效，否则我方负全部责任。</w:t>
      </w:r>
    </w:p>
    <w:p w14:paraId="5DEF176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□社会团体、民办非企适用：现附上我方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财务报告复印件，包括资产负债表、业务活动表、现金流量表、会计师事务所营业执照和注册会计师资格证书，上述证明材料真实有效，否则我方负全部责任。</w:t>
      </w:r>
    </w:p>
    <w:p w14:paraId="65D48D0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 ）投标人提供资信证明的</w:t>
      </w:r>
    </w:p>
    <w:p w14:paraId="05F01C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□非自然人适用（包括企业、事业单位、社会团体和其他组织）：现附上我方银行：</w:t>
      </w:r>
      <w:r>
        <w:rPr>
          <w:rFonts w:hint="eastAsia" w:ascii="宋体" w:hAnsi="宋体" w:eastAsia="宋体" w:cs="宋体"/>
          <w:color w:val="auto"/>
          <w:u w:val="single"/>
        </w:rPr>
        <w:t>（填写“开户银行全称”）</w:t>
      </w:r>
      <w:r>
        <w:rPr>
          <w:rFonts w:hint="eastAsia" w:ascii="宋体" w:hAnsi="宋体" w:eastAsia="宋体" w:cs="宋体"/>
          <w:color w:val="auto"/>
        </w:rPr>
        <w:t>出具的资信证明复印件，上述证明材料真实有效，否则我方负全部责任。</w:t>
      </w:r>
    </w:p>
    <w:p w14:paraId="69A18C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□自然人适用：现附上我方银行</w:t>
      </w:r>
      <w:r>
        <w:rPr>
          <w:rFonts w:hint="eastAsia" w:ascii="宋体" w:hAnsi="宋体" w:eastAsia="宋体" w:cs="宋体"/>
          <w:color w:val="auto"/>
          <w:u w:val="single"/>
        </w:rPr>
        <w:t>：（填写自然人的“个人账户的开户银行全称”）</w:t>
      </w:r>
      <w:r>
        <w:rPr>
          <w:rFonts w:hint="eastAsia" w:ascii="宋体" w:hAnsi="宋体" w:eastAsia="宋体" w:cs="宋体"/>
          <w:color w:val="auto"/>
        </w:rPr>
        <w:t>出具的资信证明复印件，上述证明材料真实有效，否则我方负全部责任。</w:t>
      </w:r>
    </w:p>
    <w:p w14:paraId="687FD07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※注意：</w:t>
      </w:r>
    </w:p>
    <w:p w14:paraId="4533DD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1DC49D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2、投标人提供的财务报告复印件（成立年限按照投标截止时间推算）应符合下列规定：</w:t>
      </w:r>
    </w:p>
    <w:p w14:paraId="3B8035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2.1成立年限满1年及以上的投标人，提供经审计的招标文件规定的年度财务报告。</w:t>
      </w:r>
    </w:p>
    <w:p w14:paraId="3A53F6B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2.2成立年限满半年但不足1年的投标人，提供该半年度中任一季度的季度财务报告或该半年度的半年度财务报告。</w:t>
      </w:r>
    </w:p>
    <w:p w14:paraId="63831A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D9D9F6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jc w:val="right"/>
        <w:textAlignment w:val="auto"/>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FE418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jc w:val="right"/>
        <w:textAlignment w:val="auto"/>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BE2097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p w14:paraId="135F86D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66A0405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1、依法缴纳税收的投标人</w:t>
      </w:r>
    </w:p>
    <w:p w14:paraId="63922BC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7B06BF6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04296D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）非法人（包括其他组织、自然人）的</w:t>
      </w:r>
    </w:p>
    <w:p w14:paraId="2AE3DAC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10E21DA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2、依法免税的投标人</w:t>
      </w:r>
    </w:p>
    <w:p w14:paraId="5E90A75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）现附上我方依法免税的证明材料复印件，上述证明材料真实有效，否则我方负全部责任。</w:t>
      </w:r>
    </w:p>
    <w:p w14:paraId="6DDD20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6A0A692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000F837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2、投标人提供的税收缴纳凭据复印件应符合下列规定：</w:t>
      </w:r>
    </w:p>
    <w:p w14:paraId="54A7C76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2.1投标截止时间前（不含投标截止时间的当月）已依法缴纳税收的投标人，提供投标截止时间前六个月（不含投标截止时间的当月）中任一月份的税收缴纳凭据复印件。</w:t>
      </w:r>
    </w:p>
    <w:p w14:paraId="7FE4F49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4289DCC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3、若为依法免税范围的投标人，提供依法免税证明材料的，视同满足本项资格条件要求。</w:t>
      </w:r>
    </w:p>
    <w:p w14:paraId="3EE6484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B0FBB7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62B3D9A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18BC92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77C09C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608DB34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4BCD67B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04D3D40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p w14:paraId="73D05A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55E23FA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1、依法缴纳社会保障资金的投标人</w:t>
      </w:r>
    </w:p>
    <w:p w14:paraId="3F809ED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4DC5413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2F09CDF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）非法人（包括其他组织、自然人）的</w:t>
      </w:r>
    </w:p>
    <w:p w14:paraId="42C8AEA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43B5EE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2、依法不需要缴纳或暂缓缴纳社会保障资金的投标人</w:t>
      </w:r>
    </w:p>
    <w:p w14:paraId="507F846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）现附上我方依法不需要缴纳或暂缓缴纳社会保障资金证明材料复印件，上述证明材料真实有效，否则我方负全部责任。</w:t>
      </w:r>
    </w:p>
    <w:p w14:paraId="5FB11A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640D03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4975F50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2、投标人提供的社会保障资金缴纳凭据复印件应符合下列规定：</w:t>
      </w:r>
    </w:p>
    <w:p w14:paraId="0025789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2.1投标截止时间前（不含投标截止时间的当月）已依法缴纳社会保障资金的投标人，提供投标截止时间前六个月（不含投标截止时间的当月）中任一月份的社会保障资金缴纳凭据复印件。</w:t>
      </w:r>
    </w:p>
    <w:p w14:paraId="2F290E1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108980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3、若为依法不需要缴纳或暂缓缴纳社会保障资金的投标人，提供依法不需要缴纳或暂缓缴纳社会保障资金证明材料的，视同满足本项资格条件要求。</w:t>
      </w:r>
    </w:p>
    <w:p w14:paraId="257DD86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AEB538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B9C39C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19C1B2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625889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0BBA4C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2BA5DAD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p w14:paraId="4E25A12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7B6F53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我方具备履行合同所必需的设备和专业技术能力，否则产生不利后果由我方承担责任。</w:t>
      </w:r>
    </w:p>
    <w:p w14:paraId="5676C6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40"/>
        <w:rPr>
          <w:rFonts w:hint="eastAsia" w:ascii="宋体" w:hAnsi="宋体" w:eastAsia="宋体" w:cs="宋体"/>
          <w:color w:val="auto"/>
        </w:rPr>
      </w:pPr>
      <w:r>
        <w:rPr>
          <w:rFonts w:hint="eastAsia" w:ascii="宋体" w:hAnsi="宋体" w:eastAsia="宋体" w:cs="宋体"/>
          <w:color w:val="auto"/>
        </w:rPr>
        <w:t>特此声明。</w:t>
      </w:r>
    </w:p>
    <w:p w14:paraId="29A9AEE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5CD8BC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1、招标文件未要求投标人提供“具备履行合同所必需的设备和专业技术能力专项证明材料”的，投标人应提供本声明函。</w:t>
      </w:r>
    </w:p>
    <w:p w14:paraId="1E98E51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2、招标文件要求投标人提供“具备履行合同所必需的设备和专业技术能力专项证明材料”的，投标人可不提供本声明函。</w:t>
      </w:r>
    </w:p>
    <w:p w14:paraId="19297A3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3、请投标人根据实际情况如实声明，否则视为提供虚假材料。</w:t>
      </w:r>
    </w:p>
    <w:p w14:paraId="79ACB6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422192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095576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613BC78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参加采购活动前三年内在经营活动中没有重大违法记录书面声明</w:t>
      </w:r>
    </w:p>
    <w:p w14:paraId="3451B0C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7CBDB8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10518E9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40"/>
        <w:rPr>
          <w:rFonts w:hint="eastAsia" w:ascii="宋体" w:hAnsi="宋体" w:eastAsia="宋体" w:cs="宋体"/>
          <w:color w:val="auto"/>
        </w:rPr>
      </w:pPr>
      <w:r>
        <w:rPr>
          <w:rFonts w:hint="eastAsia" w:ascii="宋体" w:hAnsi="宋体" w:eastAsia="宋体" w:cs="宋体"/>
          <w:color w:val="auto"/>
        </w:rPr>
        <w:t>特此声明。</w:t>
      </w:r>
    </w:p>
    <w:p w14:paraId="64AA9FA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155D0C6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F2FD3A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请投标人根据实际情况如实声明，否则视为提供虚假材料。</w:t>
      </w:r>
    </w:p>
    <w:p w14:paraId="067FC9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CCD978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FF85DC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480208EA">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706328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cs="宋体"/>
          <w:color w:val="auto"/>
          <w:sz w:val="24"/>
          <w:szCs w:val="24"/>
          <w:lang w:val="en-US" w:eastAsia="zh-CN"/>
        </w:rPr>
        <w:t>3</w:t>
      </w:r>
      <w:r>
        <w:rPr>
          <w:rFonts w:hint="eastAsia" w:ascii="宋体" w:hAnsi="宋体" w:eastAsia="宋体" w:cs="宋体"/>
          <w:color w:val="auto"/>
          <w:sz w:val="24"/>
          <w:szCs w:val="24"/>
        </w:rPr>
        <w:t>信用记录查询提示</w:t>
      </w:r>
    </w:p>
    <w:p w14:paraId="3E9FCFF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1、由资格审查小组通过网站查询并打印投标人的信用记录。</w:t>
      </w:r>
    </w:p>
    <w:p w14:paraId="75DBFB5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20F1E7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3、投标人应了解投标人自身的信用记录情况。当投标人受到200万以上罚款的行政处罚且该罚款不属较大数额罚款时，投标人应在</w:t>
      </w:r>
      <w:r>
        <w:rPr>
          <w:rFonts w:hint="eastAsia" w:ascii="宋体" w:hAnsi="宋体" w:eastAsia="宋体" w:cs="宋体"/>
          <w:color w:val="auto"/>
          <w:lang w:eastAsia="zh-CN"/>
        </w:rPr>
        <w:t>投标文件</w:t>
      </w:r>
      <w:r>
        <w:rPr>
          <w:rFonts w:hint="eastAsia" w:ascii="宋体" w:hAnsi="宋体" w:eastAsia="宋体" w:cs="宋体"/>
          <w:color w:val="auto"/>
        </w:rPr>
        <w:t>中提供此项罚款不属于较大数额罚款的依据（如提供：相关法律制度的规定、行政执法机构对该罚款不属于较大数额罚款的认定或者其他有效依据）。</w:t>
      </w:r>
    </w:p>
    <w:p w14:paraId="7D72445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6CDFC36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cs="宋体"/>
          <w:color w:val="auto"/>
          <w:sz w:val="24"/>
          <w:szCs w:val="24"/>
          <w:lang w:val="en-US" w:eastAsia="zh-CN"/>
        </w:rPr>
        <w:t>4</w:t>
      </w:r>
      <w:r>
        <w:rPr>
          <w:rFonts w:hint="eastAsia" w:ascii="宋体" w:hAnsi="宋体" w:eastAsia="宋体" w:cs="宋体"/>
          <w:color w:val="auto"/>
          <w:sz w:val="24"/>
          <w:szCs w:val="24"/>
        </w:rPr>
        <w:t>中小企业声明函</w:t>
      </w:r>
    </w:p>
    <w:p w14:paraId="3769772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（以资格条件落实中小企业扶持政策时适用，若有）</w:t>
      </w:r>
    </w:p>
    <w:p w14:paraId="0A9FD76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中小企业声明函（货物）</w:t>
      </w:r>
    </w:p>
    <w:p w14:paraId="0484540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163853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ascii="宋体" w:hAnsi="宋体" w:eastAsia="宋体" w:cs="宋体"/>
          <w:color w:val="auto"/>
          <w:sz w:val="21"/>
          <w:szCs w:val="21"/>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1123E67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2DF4B4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w:t>
      </w:r>
    </w:p>
    <w:p w14:paraId="56EB74D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C4D6AC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5E57EBB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48470E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2AD547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p>
    <w:p w14:paraId="5BC6114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64EA0E9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637458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52996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0C09A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617E7E6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中小企业声明函（工程、服务）</w:t>
      </w:r>
    </w:p>
    <w:p w14:paraId="67E9332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1D3C442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szCs w:val="21"/>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53C1915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1CE9D4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w:t>
      </w:r>
    </w:p>
    <w:p w14:paraId="765B0D5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22E83C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6B85CCC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234FC7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5D7AAB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p>
    <w:p w14:paraId="23668F9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p>
    <w:p w14:paraId="139D0C7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411F7D8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23F501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D64C1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74861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204D5EC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残疾人福利性单位声明函</w:t>
      </w:r>
    </w:p>
    <w:p w14:paraId="5D3533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（以资格条件落实中小企业扶持政策时适用，若有）</w:t>
      </w:r>
    </w:p>
    <w:p w14:paraId="3E297F9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64B470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BE15DC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061E302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6EA5C9C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2342B1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备注：</w:t>
      </w:r>
    </w:p>
    <w:p w14:paraId="44914EB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5A0DB58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3568459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D1EAD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9EB3AA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p>
    <w:p w14:paraId="4308F8D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color w:val="auto"/>
        </w:rPr>
      </w:pPr>
    </w:p>
    <w:p w14:paraId="4758AE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附：</w:t>
      </w:r>
    </w:p>
    <w:p w14:paraId="6C9113E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监狱企业证明材料</w:t>
      </w:r>
    </w:p>
    <w:p w14:paraId="21CF7B3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w:t>
      </w:r>
      <w:r>
        <w:rPr>
          <w:rFonts w:hint="eastAsia" w:ascii="宋体" w:hAnsi="宋体" w:eastAsia="宋体" w:cs="宋体"/>
          <w:color w:val="auto"/>
          <w:lang w:eastAsia="zh-CN"/>
        </w:rPr>
        <w:t>投标文件</w:t>
      </w:r>
      <w:r>
        <w:rPr>
          <w:rFonts w:hint="eastAsia" w:ascii="宋体" w:hAnsi="宋体" w:eastAsia="宋体" w:cs="宋体"/>
          <w:color w:val="auto"/>
        </w:rPr>
        <w:t>中提供省级以上监狱管理局、戒毒管理局（含新疆生产建设兵团）出具的属于监狱企业的证明文件。</w:t>
      </w:r>
    </w:p>
    <w:p w14:paraId="7BF6E2C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59B5CF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cs="宋体"/>
          <w:color w:val="auto"/>
          <w:sz w:val="24"/>
          <w:szCs w:val="24"/>
          <w:lang w:val="en-US" w:eastAsia="zh-CN"/>
        </w:rPr>
        <w:t>5</w:t>
      </w:r>
      <w:r>
        <w:rPr>
          <w:rFonts w:hint="eastAsia" w:ascii="宋体" w:hAnsi="宋体" w:eastAsia="宋体" w:cs="宋体"/>
          <w:color w:val="auto"/>
          <w:sz w:val="24"/>
          <w:szCs w:val="24"/>
        </w:rPr>
        <w:t>联合体协议（若有）</w:t>
      </w:r>
    </w:p>
    <w:p w14:paraId="4A00A70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D8CF9A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兹有</w:t>
      </w:r>
      <w:r>
        <w:rPr>
          <w:rFonts w:hint="eastAsia" w:ascii="宋体" w:hAnsi="宋体" w:eastAsia="宋体" w:cs="宋体"/>
          <w:color w:val="auto"/>
          <w:u w:val="single"/>
        </w:rPr>
        <w:t>（填写“联合体中各方的全称”，各方的全称之间请用“、”分割）</w:t>
      </w:r>
      <w:r>
        <w:rPr>
          <w:rFonts w:hint="eastAsia" w:ascii="宋体" w:hAnsi="宋体" w:eastAsia="宋体" w:cs="宋体"/>
          <w:color w:val="auto"/>
        </w:rPr>
        <w:t>自愿组成联合体，共同参加</w:t>
      </w:r>
      <w:r>
        <w:rPr>
          <w:rFonts w:hint="eastAsia" w:ascii="宋体" w:hAnsi="宋体" w:eastAsia="宋体" w:cs="宋体"/>
          <w:color w:val="auto"/>
          <w:u w:val="single"/>
        </w:rPr>
        <w:t>（填写“项目名称”）</w:t>
      </w:r>
      <w:r>
        <w:rPr>
          <w:rFonts w:hint="eastAsia" w:ascii="宋体" w:hAnsi="宋体" w:eastAsia="宋体" w:cs="宋体"/>
          <w:color w:val="auto"/>
        </w:rPr>
        <w:t> 项目（项目编号：</w:t>
      </w:r>
      <w:r>
        <w:rPr>
          <w:rFonts w:hint="eastAsia" w:ascii="宋体" w:hAnsi="宋体" w:eastAsia="宋体" w:cs="宋体"/>
          <w:color w:val="auto"/>
          <w:u w:val="single"/>
        </w:rPr>
        <w:t>　　　　　　</w:t>
      </w:r>
      <w:r>
        <w:rPr>
          <w:rFonts w:hint="eastAsia" w:ascii="宋体" w:hAnsi="宋体" w:eastAsia="宋体" w:cs="宋体"/>
          <w:color w:val="auto"/>
        </w:rPr>
        <w:t>）的投标。现就联合体参加本项目投标的有关事宜达成下列协议：</w:t>
      </w:r>
    </w:p>
    <w:p w14:paraId="2A1BEC6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一、联合体各方应承担的工作和义务具体如下：</w:t>
      </w:r>
    </w:p>
    <w:p w14:paraId="3B10B4A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1、牵头方（全称）：</w:t>
      </w:r>
      <w:r>
        <w:rPr>
          <w:rFonts w:hint="eastAsia" w:ascii="宋体" w:hAnsi="宋体" w:eastAsia="宋体" w:cs="宋体"/>
          <w:color w:val="auto"/>
          <w:u w:val="single"/>
        </w:rPr>
        <w:t>（填写“工作及义务的具体内容”） </w:t>
      </w:r>
      <w:r>
        <w:rPr>
          <w:rFonts w:hint="eastAsia" w:ascii="宋体" w:hAnsi="宋体" w:eastAsia="宋体" w:cs="宋体"/>
          <w:color w:val="auto"/>
        </w:rPr>
        <w:t>；</w:t>
      </w:r>
    </w:p>
    <w:p w14:paraId="51BA5A0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2、成员方：</w:t>
      </w:r>
    </w:p>
    <w:p w14:paraId="5FBC2B0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2.1（成员一的全称）：</w:t>
      </w:r>
      <w:r>
        <w:rPr>
          <w:rFonts w:hint="eastAsia" w:ascii="宋体" w:hAnsi="宋体" w:eastAsia="宋体" w:cs="宋体"/>
          <w:color w:val="auto"/>
          <w:u w:val="single"/>
        </w:rPr>
        <w:t>（填写“工作及义务的具体内容”）</w:t>
      </w:r>
      <w:r>
        <w:rPr>
          <w:rFonts w:hint="eastAsia" w:ascii="宋体" w:hAnsi="宋体" w:eastAsia="宋体" w:cs="宋体"/>
          <w:color w:val="auto"/>
        </w:rPr>
        <w:t> ；</w:t>
      </w:r>
    </w:p>
    <w:p w14:paraId="57938CD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w:t>
      </w:r>
    </w:p>
    <w:p w14:paraId="4A029A8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二、联合体各方的合同金额占比，具体如下：</w:t>
      </w:r>
    </w:p>
    <w:p w14:paraId="074BA88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1.牵头方（</w:t>
      </w:r>
      <w:r>
        <w:rPr>
          <w:rFonts w:hint="eastAsia" w:ascii="宋体" w:hAnsi="宋体" w:eastAsia="宋体" w:cs="宋体"/>
          <w:color w:val="auto"/>
          <w:u w:val="single"/>
        </w:rPr>
        <w:t> 全称</w:t>
      </w:r>
      <w:r>
        <w:rPr>
          <w:rFonts w:hint="eastAsia" w:ascii="宋体" w:hAnsi="宋体" w:eastAsia="宋体" w:cs="宋体"/>
          <w:color w:val="auto"/>
        </w:rPr>
        <w:t> ）的合同金额占合同总额的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5ED07CD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2.成员方：</w:t>
      </w:r>
    </w:p>
    <w:p w14:paraId="15DA3B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2.1（</w:t>
      </w:r>
      <w:r>
        <w:rPr>
          <w:rFonts w:hint="eastAsia" w:ascii="宋体" w:hAnsi="宋体" w:eastAsia="宋体" w:cs="宋体"/>
          <w:color w:val="auto"/>
          <w:u w:val="single"/>
        </w:rPr>
        <w:t> 成员1的全称 </w:t>
      </w:r>
      <w:r>
        <w:rPr>
          <w:rFonts w:hint="eastAsia" w:ascii="宋体" w:hAnsi="宋体" w:eastAsia="宋体" w:cs="宋体"/>
          <w:color w:val="auto"/>
        </w:rPr>
        <w:t>）的合同金额占合同总额的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2B7219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w:t>
      </w:r>
    </w:p>
    <w:p w14:paraId="006EB9A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三、联合体各方约定：</w:t>
      </w:r>
    </w:p>
    <w:p w14:paraId="73A08DC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1、由</w:t>
      </w:r>
      <w:r>
        <w:rPr>
          <w:rFonts w:hint="eastAsia" w:ascii="宋体" w:hAnsi="宋体" w:eastAsia="宋体" w:cs="宋体"/>
          <w:color w:val="auto"/>
          <w:u w:val="single"/>
        </w:rPr>
        <w:t>（填写“牵头方的全称”）代表联合体办理参加本项目投标的有关事宜（包括但不限于：注册账号、派出投标人代表、提交</w:t>
      </w:r>
      <w:r>
        <w:rPr>
          <w:rFonts w:hint="eastAsia" w:ascii="宋体" w:hAnsi="宋体" w:eastAsia="宋体" w:cs="宋体"/>
          <w:color w:val="auto"/>
          <w:u w:val="single"/>
          <w:lang w:eastAsia="zh-CN"/>
        </w:rPr>
        <w:t>投标文件</w:t>
      </w:r>
      <w:r>
        <w:rPr>
          <w:rFonts w:hint="eastAsia" w:ascii="宋体" w:hAnsi="宋体" w:eastAsia="宋体" w:cs="宋体"/>
          <w:color w:val="auto"/>
          <w:u w:val="single"/>
        </w:rPr>
        <w:t>及参加开标、谈判、澄清等），在此过程中，投标人代表签字的一切文件和处理结果，联合体均予以认可并对此承担责任。</w:t>
      </w:r>
    </w:p>
    <w:p w14:paraId="6F80FB9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2、联合体各方约定由</w:t>
      </w:r>
      <w:r>
        <w:rPr>
          <w:rFonts w:hint="eastAsia" w:ascii="宋体" w:hAnsi="宋体" w:eastAsia="宋体" w:cs="宋体"/>
          <w:color w:val="auto"/>
          <w:u w:val="single"/>
        </w:rPr>
        <w:t>（填写“牵头方的全称”）代表联合体办理投标保证金事宜。</w:t>
      </w:r>
    </w:p>
    <w:p w14:paraId="7ACC475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70586B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四、若中标，牵头方将代表联合体与采购人就合同签订事宜进行协商；若协商一致，则联合体各方将共同与采购人签订政府采购合同，并就政府采购合同约定的事项对采购人承担连带责任。</w:t>
      </w:r>
    </w:p>
    <w:p w14:paraId="3BA1F44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五、本协议自签署之日起生效，政府采购合同履行完毕后自动失效。</w:t>
      </w:r>
    </w:p>
    <w:p w14:paraId="543EC30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六、本协议一式</w:t>
      </w:r>
      <w:r>
        <w:rPr>
          <w:rFonts w:hint="eastAsia" w:ascii="宋体" w:hAnsi="宋体" w:eastAsia="宋体" w:cs="宋体"/>
          <w:color w:val="auto"/>
          <w:u w:val="single"/>
        </w:rPr>
        <w:t>（填写具体份数）</w:t>
      </w:r>
      <w:r>
        <w:rPr>
          <w:rFonts w:hint="eastAsia" w:ascii="宋体" w:hAnsi="宋体" w:eastAsia="宋体" w:cs="宋体"/>
          <w:color w:val="auto"/>
        </w:rPr>
        <w:t>份，联合体各方各执一份，</w:t>
      </w:r>
      <w:r>
        <w:rPr>
          <w:rFonts w:hint="eastAsia" w:ascii="宋体" w:hAnsi="宋体" w:eastAsia="宋体" w:cs="宋体"/>
          <w:color w:val="auto"/>
          <w:lang w:eastAsia="zh-CN"/>
        </w:rPr>
        <w:t>投标文件</w:t>
      </w:r>
      <w:r>
        <w:rPr>
          <w:rFonts w:hint="eastAsia" w:ascii="宋体" w:hAnsi="宋体" w:eastAsia="宋体" w:cs="宋体"/>
          <w:color w:val="auto"/>
        </w:rPr>
        <w:t>中提交一份。</w:t>
      </w:r>
    </w:p>
    <w:p w14:paraId="4E22344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（以下无正文）</w:t>
      </w:r>
    </w:p>
    <w:p w14:paraId="5E18DE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牵头方：</w:t>
      </w:r>
      <w:r>
        <w:rPr>
          <w:rFonts w:hint="eastAsia" w:ascii="宋体" w:hAnsi="宋体" w:eastAsia="宋体" w:cs="宋体"/>
          <w:color w:val="auto"/>
          <w:u w:val="single"/>
        </w:rPr>
        <w:t>（全称并加盖单位公章）</w:t>
      </w:r>
    </w:p>
    <w:p w14:paraId="327D9BB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（签字或盖章）</w:t>
      </w:r>
    </w:p>
    <w:p w14:paraId="720ED8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成员一：</w:t>
      </w:r>
      <w:r>
        <w:rPr>
          <w:rFonts w:hint="eastAsia" w:ascii="宋体" w:hAnsi="宋体" w:eastAsia="宋体" w:cs="宋体"/>
          <w:color w:val="auto"/>
          <w:u w:val="single"/>
        </w:rPr>
        <w:t>（全称并加盖成员一的单位公章）</w:t>
      </w:r>
    </w:p>
    <w:p w14:paraId="747EE3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（签字或盖章）</w:t>
      </w:r>
    </w:p>
    <w:p w14:paraId="3BDA680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w:t>
      </w:r>
    </w:p>
    <w:p w14:paraId="241568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成员**：</w:t>
      </w:r>
      <w:r>
        <w:rPr>
          <w:rFonts w:hint="eastAsia" w:ascii="宋体" w:hAnsi="宋体" w:eastAsia="宋体" w:cs="宋体"/>
          <w:color w:val="auto"/>
          <w:u w:val="single"/>
        </w:rPr>
        <w:t>（全称并加盖成员**的单位公章）</w:t>
      </w:r>
    </w:p>
    <w:p w14:paraId="684655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（签字或盖章）</w:t>
      </w:r>
    </w:p>
    <w:p w14:paraId="05D451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年　　月　　日</w:t>
      </w:r>
    </w:p>
    <w:p w14:paraId="70BC3E0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459A94D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1、招标文件接受联合体投标且投标人为联合体的，投标人应提供本协议；否则无须提供。</w:t>
      </w:r>
    </w:p>
    <w:p w14:paraId="1151794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500B2D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3、在以联合体形式落实中小企业预留份额项目中，投标人除了要提供《中小企业声明函》，还需提供本协议。</w:t>
      </w:r>
    </w:p>
    <w:p w14:paraId="6F34CC9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463D3A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3B493A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5F0633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56358E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76AD97B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688455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553BB8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34E0E87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6D5102E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p>
    <w:p w14:paraId="19F6DC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cs="宋体"/>
          <w:color w:val="auto"/>
          <w:sz w:val="24"/>
          <w:szCs w:val="24"/>
          <w:lang w:val="en-US" w:eastAsia="zh-CN"/>
        </w:rPr>
        <w:t>6</w:t>
      </w:r>
      <w:r>
        <w:rPr>
          <w:rFonts w:hint="eastAsia" w:ascii="宋体" w:hAnsi="宋体" w:eastAsia="宋体" w:cs="宋体"/>
          <w:color w:val="auto"/>
          <w:sz w:val="24"/>
          <w:szCs w:val="24"/>
        </w:rPr>
        <w:t>分包意向协议（若有）</w:t>
      </w:r>
    </w:p>
    <w:p w14:paraId="222F5FA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甲方（总包方）：</w:t>
      </w:r>
      <w:r>
        <w:rPr>
          <w:rFonts w:hint="eastAsia" w:ascii="宋体" w:hAnsi="宋体" w:eastAsia="宋体" w:cs="宋体"/>
          <w:color w:val="auto"/>
          <w:u w:val="single"/>
        </w:rPr>
        <w:t>　　　　　　　</w:t>
      </w:r>
      <w:r>
        <w:rPr>
          <w:rFonts w:hint="eastAsia" w:ascii="宋体" w:hAnsi="宋体" w:eastAsia="宋体" w:cs="宋体"/>
          <w:color w:val="auto"/>
        </w:rPr>
        <w:t>（即本项目的投标人）</w:t>
      </w:r>
    </w:p>
    <w:p w14:paraId="011C457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乙方（分包方）：</w:t>
      </w:r>
      <w:r>
        <w:rPr>
          <w:rFonts w:hint="eastAsia" w:ascii="宋体" w:hAnsi="宋体" w:eastAsia="宋体" w:cs="宋体"/>
          <w:color w:val="auto"/>
          <w:u w:val="single"/>
        </w:rPr>
        <w:t>　　　　　　　</w:t>
      </w:r>
    </w:p>
    <w:p w14:paraId="63DAF2D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兹有甲方参加</w:t>
      </w:r>
      <w:r>
        <w:rPr>
          <w:rFonts w:hint="eastAsia" w:ascii="宋体" w:hAnsi="宋体" w:eastAsia="宋体" w:cs="宋体"/>
          <w:color w:val="auto"/>
          <w:u w:val="single"/>
        </w:rPr>
        <w:t>（填写“项目名称”）</w:t>
      </w:r>
      <w:r>
        <w:rPr>
          <w:rFonts w:hint="eastAsia" w:ascii="宋体" w:hAnsi="宋体" w:eastAsia="宋体" w:cs="宋体"/>
          <w:color w:val="auto"/>
        </w:rPr>
        <w:t> 项目（项目编号：</w:t>
      </w:r>
      <w:r>
        <w:rPr>
          <w:rFonts w:hint="eastAsia" w:ascii="宋体" w:hAnsi="宋体" w:eastAsia="宋体" w:cs="宋体"/>
          <w:color w:val="auto"/>
          <w:u w:val="single"/>
        </w:rPr>
        <w:t>　　　　　　　</w:t>
      </w:r>
      <w:r>
        <w:rPr>
          <w:rFonts w:hint="eastAsia" w:ascii="宋体" w:hAnsi="宋体" w:eastAsia="宋体" w:cs="宋体"/>
          <w:color w:val="auto"/>
        </w:rPr>
        <w:t>）的政府采购活动。甲方期望将采购项目的部分采购标的分包给乙方完成，而乙方保证能够向甲方提供本协议项下的采购标的，甲、乙双方就合同分包的有关事宜达成下列协议：</w:t>
      </w:r>
    </w:p>
    <w:p w14:paraId="45C13EC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一、分包标的</w:t>
      </w:r>
    </w:p>
    <w:p w14:paraId="3C9794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u w:val="single"/>
        </w:rPr>
        <w:t>（根据双方的意向填写，可以是表格或文字描述）。</w:t>
      </w:r>
    </w:p>
    <w:p w14:paraId="05E7C00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二、分包合同金额占比</w:t>
      </w:r>
    </w:p>
    <w:p w14:paraId="2F573E9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分包合同价占投标总价的比例：</w:t>
      </w:r>
      <w:r>
        <w:rPr>
          <w:rFonts w:hint="eastAsia" w:ascii="宋体" w:hAnsi="宋体" w:eastAsia="宋体" w:cs="宋体"/>
          <w:color w:val="auto"/>
          <w:u w:val="single"/>
        </w:rPr>
        <w:t>　　　　　</w:t>
      </w:r>
      <w:r>
        <w:rPr>
          <w:rFonts w:hint="eastAsia" w:ascii="宋体" w:hAnsi="宋体" w:eastAsia="宋体" w:cs="宋体"/>
          <w:color w:val="auto"/>
        </w:rPr>
        <w:t>%</w:t>
      </w:r>
    </w:p>
    <w:p w14:paraId="54D08E9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三、其他条款</w:t>
      </w:r>
    </w:p>
    <w:p w14:paraId="3A08BB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8"/>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37"/>
        <w:gridCol w:w="4837"/>
      </w:tblGrid>
      <w:tr w14:paraId="12DC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7DBC5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甲方：</w:t>
            </w:r>
          </w:p>
        </w:tc>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943AD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乙方：</w:t>
            </w:r>
          </w:p>
        </w:tc>
      </w:tr>
      <w:tr w14:paraId="247E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149B5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住所：</w:t>
            </w:r>
          </w:p>
        </w:tc>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E06AE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住所：</w:t>
            </w:r>
          </w:p>
        </w:tc>
      </w:tr>
      <w:tr w14:paraId="6015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233D3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单位负责人或委托代理人：</w:t>
            </w:r>
          </w:p>
        </w:tc>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18E23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单位负责人或委托代理人：</w:t>
            </w:r>
          </w:p>
        </w:tc>
      </w:tr>
      <w:tr w14:paraId="090A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50D23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联系方法：</w:t>
            </w:r>
          </w:p>
        </w:tc>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1957A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联系方法：</w:t>
            </w:r>
          </w:p>
        </w:tc>
      </w:tr>
      <w:tr w14:paraId="7A46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65326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开户银行：</w:t>
            </w:r>
          </w:p>
        </w:tc>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5BD41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开户银行：</w:t>
            </w:r>
          </w:p>
        </w:tc>
      </w:tr>
      <w:tr w14:paraId="7131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65A1C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账号：</w:t>
            </w:r>
          </w:p>
        </w:tc>
        <w:tc>
          <w:tcPr>
            <w:tcW w:w="48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304EB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账号：</w:t>
            </w:r>
          </w:p>
        </w:tc>
      </w:tr>
      <w:tr w14:paraId="7B8B4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674" w:type="dxa"/>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B0CC3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14:paraId="44CA5EE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color w:val="auto"/>
              </w:rPr>
            </w:pPr>
            <w:r>
              <w:rPr>
                <w:rFonts w:hint="eastAsia" w:ascii="宋体" w:hAnsi="宋体" w:eastAsia="宋体" w:cs="宋体"/>
                <w:color w:val="auto"/>
              </w:rPr>
              <w:t>签约日期：</w:t>
            </w:r>
            <w:r>
              <w:rPr>
                <w:rFonts w:hint="eastAsia" w:ascii="宋体" w:hAnsi="宋体" w:eastAsia="宋体" w:cs="宋体"/>
                <w:color w:val="auto"/>
                <w:u w:val="single"/>
              </w:rPr>
              <w:t>　　年　　月　　日</w:t>
            </w:r>
          </w:p>
        </w:tc>
      </w:tr>
    </w:tbl>
    <w:p w14:paraId="4BA6802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3C906FD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1.招标文件接受合同分包且投标人拟将合同分包的，应提供本协议；否则无须提供。</w:t>
      </w:r>
    </w:p>
    <w:p w14:paraId="64E6B50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430308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3.在以合同分包形式落实中小企业预留份额项目中，投标人除了要提供《中小企业声明函》，还需提供本协议。</w:t>
      </w:r>
    </w:p>
    <w:p w14:paraId="46D27DF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020E980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color w:val="auto"/>
        </w:rPr>
      </w:pPr>
    </w:p>
    <w:p w14:paraId="2D402CE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cs="宋体"/>
          <w:color w:val="auto"/>
          <w:sz w:val="24"/>
          <w:szCs w:val="24"/>
          <w:lang w:val="en-US" w:eastAsia="zh-CN"/>
        </w:rPr>
        <w:t>7</w:t>
      </w:r>
      <w:r>
        <w:rPr>
          <w:rFonts w:hint="eastAsia" w:ascii="宋体" w:hAnsi="宋体" w:eastAsia="宋体" w:cs="宋体"/>
          <w:color w:val="auto"/>
          <w:sz w:val="24"/>
          <w:szCs w:val="24"/>
        </w:rPr>
        <w:t>其他资格证明文件（若有）</w:t>
      </w:r>
    </w:p>
    <w:p w14:paraId="3F3711B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cs="宋体"/>
          <w:color w:val="auto"/>
          <w:sz w:val="24"/>
          <w:szCs w:val="24"/>
          <w:lang w:val="en-US" w:eastAsia="zh-CN"/>
        </w:rPr>
        <w:t>7</w:t>
      </w:r>
      <w:r>
        <w:rPr>
          <w:rFonts w:hint="eastAsia" w:ascii="宋体" w:hAnsi="宋体" w:eastAsia="宋体" w:cs="宋体"/>
          <w:color w:val="auto"/>
          <w:sz w:val="24"/>
          <w:szCs w:val="24"/>
        </w:rPr>
        <w:t>-①具备履行合同所必需设备和专业技术能力专项证明材料（若有）</w:t>
      </w:r>
    </w:p>
    <w:p w14:paraId="3348F75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FBE53D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现附上我方具备履行合同所必需的设备和专业技术能力的专项证明材料复印件（具体附后），上述证明材料真实有效，否则我方负全部责任。</w:t>
      </w:r>
    </w:p>
    <w:p w14:paraId="4BB84C0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1D91BA9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1、招标文件要求投标人提供“具备履行合同所必需的设备和专业技术能力专项证明材料”的，投标人应按照招标文件规定在此项下提供相应证明材料复印件。</w:t>
      </w:r>
    </w:p>
    <w:p w14:paraId="0D710B9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2、投标人提供的相应证明材料复印件均应符合：内容完整、清晰、整洁，并由投标人加盖其单位公章。</w:t>
      </w:r>
    </w:p>
    <w:p w14:paraId="0F8CCB4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746511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DBFEBB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6FF192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cs="宋体"/>
          <w:color w:val="auto"/>
          <w:sz w:val="24"/>
          <w:szCs w:val="24"/>
          <w:lang w:val="en-US" w:eastAsia="zh-CN"/>
        </w:rPr>
        <w:t>7</w:t>
      </w:r>
      <w:r>
        <w:rPr>
          <w:rFonts w:hint="eastAsia" w:ascii="宋体" w:hAnsi="宋体" w:eastAsia="宋体" w:cs="宋体"/>
          <w:color w:val="auto"/>
          <w:sz w:val="24"/>
          <w:szCs w:val="24"/>
        </w:rPr>
        <w:t>-②招标文件规定的其他资格证明文件（若有）</w:t>
      </w:r>
    </w:p>
    <w:p w14:paraId="00978CB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rPr>
      </w:pPr>
      <w:r>
        <w:rPr>
          <w:rFonts w:hint="eastAsia" w:ascii="宋体" w:hAnsi="宋体" w:eastAsia="宋体" w:cs="宋体"/>
          <w:color w:val="auto"/>
        </w:rPr>
        <w:t>编制说明</w:t>
      </w:r>
    </w:p>
    <w:p w14:paraId="584B247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除招标文件另有规定外，招标文件要求提交的除前述资格证明文件外的其他资格证明文件（若有）加盖投标人的单位公章后应在此项下提交。</w:t>
      </w:r>
    </w:p>
    <w:p w14:paraId="3BC72E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 </w:t>
      </w:r>
    </w:p>
    <w:p w14:paraId="2857D2B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三、投标保证金</w:t>
      </w:r>
    </w:p>
    <w:p w14:paraId="6A9963A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rPr>
      </w:pPr>
      <w:r>
        <w:rPr>
          <w:rFonts w:hint="eastAsia" w:ascii="宋体" w:hAnsi="宋体" w:eastAsia="宋体" w:cs="宋体"/>
          <w:color w:val="auto"/>
        </w:rPr>
        <w:t>编制说明</w:t>
      </w:r>
    </w:p>
    <w:p w14:paraId="5D31F30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1、在此项下提交的“投标保证金”材料可使用转账凭证复印件。</w:t>
      </w:r>
    </w:p>
    <w:p w14:paraId="6828519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2、投标保证金是否已提交的认定按照招标文件第三章规定执行。</w:t>
      </w:r>
    </w:p>
    <w:p w14:paraId="444227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 </w:t>
      </w:r>
    </w:p>
    <w:p w14:paraId="50B7C2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56A71DC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4E9FBD6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06809C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49D2D2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7248793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136C59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封面格式(报价部分)</w:t>
      </w:r>
    </w:p>
    <w:p w14:paraId="43FD12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78"/>
          <w:szCs w:val="78"/>
        </w:rPr>
      </w:pPr>
      <w:r>
        <w:rPr>
          <w:rFonts w:hint="eastAsia" w:ascii="宋体" w:hAnsi="宋体" w:eastAsia="宋体" w:cs="宋体"/>
          <w:b/>
          <w:bCs/>
          <w:color w:val="auto"/>
          <w:sz w:val="78"/>
          <w:szCs w:val="78"/>
        </w:rPr>
        <w:t>福建省政府采购投标文件</w:t>
      </w:r>
    </w:p>
    <w:p w14:paraId="257DDA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78"/>
          <w:szCs w:val="78"/>
        </w:rPr>
      </w:pPr>
      <w:r>
        <w:rPr>
          <w:rFonts w:hint="eastAsia" w:ascii="宋体" w:hAnsi="宋体" w:eastAsia="宋体" w:cs="宋体"/>
          <w:b/>
          <w:bCs/>
          <w:color w:val="auto"/>
          <w:sz w:val="78"/>
          <w:szCs w:val="78"/>
        </w:rPr>
        <w:t>（报价部分）</w:t>
      </w:r>
    </w:p>
    <w:p w14:paraId="6FED1F72">
      <w:pPr>
        <w:keepNext w:val="0"/>
        <w:keepLines w:val="0"/>
        <w:widowControl/>
        <w:suppressLineNumbers w:val="0"/>
        <w:spacing w:after="240" w:afterAutospacing="0"/>
        <w:jc w:val="left"/>
        <w:rPr>
          <w:color w:val="auto"/>
        </w:rPr>
      </w:pPr>
    </w:p>
    <w:p w14:paraId="755E1505">
      <w:pPr>
        <w:keepNext w:val="0"/>
        <w:keepLines w:val="0"/>
        <w:widowControl/>
        <w:suppressLineNumbers w:val="0"/>
        <w:spacing w:after="240" w:afterAutospacing="0"/>
        <w:jc w:val="left"/>
        <w:rPr>
          <w:color w:val="auto"/>
        </w:rPr>
      </w:pPr>
    </w:p>
    <w:p w14:paraId="59BA02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9"/>
          <w:szCs w:val="39"/>
        </w:rPr>
      </w:pPr>
      <w:r>
        <w:rPr>
          <w:rFonts w:hint="eastAsia" w:ascii="宋体" w:hAnsi="宋体" w:eastAsia="宋体" w:cs="宋体"/>
          <w:b/>
          <w:bCs/>
          <w:color w:val="auto"/>
          <w:sz w:val="39"/>
          <w:szCs w:val="39"/>
        </w:rPr>
        <w:t>（填写正本或副本）</w:t>
      </w:r>
    </w:p>
    <w:p w14:paraId="4C022A98">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745180A6">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3150603F">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36A095F2">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5ACA0E7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（项目名称：（由投标人填写）</w:t>
      </w:r>
    </w:p>
    <w:p w14:paraId="3E044D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（备案编号：（由投标人填写）</w:t>
      </w:r>
    </w:p>
    <w:p w14:paraId="0C60B06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（项目编号：（由投标人填写）</w:t>
      </w:r>
    </w:p>
    <w:p w14:paraId="3F170A0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（所投采购包：（由投标人填写）</w:t>
      </w:r>
    </w:p>
    <w:p w14:paraId="3DCBBDFD">
      <w:pPr>
        <w:keepNext w:val="0"/>
        <w:keepLines w:val="0"/>
        <w:widowControl/>
        <w:suppressLineNumbers w:val="0"/>
        <w:spacing w:after="240" w:afterAutospacing="0"/>
        <w:jc w:val="left"/>
        <w:rPr>
          <w:color w:val="auto"/>
        </w:rPr>
      </w:pPr>
    </w:p>
    <w:p w14:paraId="26B064D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投标人：（填写“全称”）</w:t>
      </w:r>
    </w:p>
    <w:p w14:paraId="6188740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（由投标人填写）年（由投标人填写）月</w:t>
      </w:r>
    </w:p>
    <w:p w14:paraId="59FC7DA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 </w:t>
      </w:r>
    </w:p>
    <w:p w14:paraId="5FF9B44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05F0311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7E5CB0A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0F9B34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6C0D1FB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4051FC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索引</w:t>
      </w:r>
    </w:p>
    <w:p w14:paraId="4BE90E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一、开标一览表</w:t>
      </w:r>
    </w:p>
    <w:p w14:paraId="6C385D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二、投标分项报价表</w:t>
      </w:r>
    </w:p>
    <w:p w14:paraId="05F47FC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三、招标文件规定的价格扣除证明材料（若有）</w:t>
      </w:r>
    </w:p>
    <w:p w14:paraId="67401C7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四、招标文件规定的加分证明材料（若有）</w:t>
      </w:r>
    </w:p>
    <w:p w14:paraId="6DF12C8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 </w:t>
      </w:r>
    </w:p>
    <w:p w14:paraId="481335F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74B4D96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一、开标一览表</w:t>
      </w:r>
    </w:p>
    <w:p w14:paraId="09BBD98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p w14:paraId="040B5EB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货币及单位：人民币元</w:t>
      </w:r>
    </w:p>
    <w:tbl>
      <w:tblPr>
        <w:tblStyle w:val="18"/>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4"/>
        <w:gridCol w:w="2336"/>
        <w:gridCol w:w="1168"/>
        <w:gridCol w:w="5346"/>
      </w:tblGrid>
      <w:tr w14:paraId="6E7B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71982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采购包</w:t>
            </w:r>
          </w:p>
        </w:tc>
        <w:tc>
          <w:tcPr>
            <w:tcW w:w="233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C63C6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投标报价</w:t>
            </w:r>
          </w:p>
        </w:tc>
        <w:tc>
          <w:tcPr>
            <w:tcW w:w="11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0E9F1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投标保证金</w:t>
            </w:r>
          </w:p>
        </w:tc>
        <w:tc>
          <w:tcPr>
            <w:tcW w:w="534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72E7D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备注</w:t>
            </w:r>
          </w:p>
        </w:tc>
      </w:tr>
      <w:tr w14:paraId="21D2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4780E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233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345E6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投标总价（大写金额）：</w:t>
            </w:r>
            <w:r>
              <w:rPr>
                <w:rFonts w:hint="eastAsia" w:ascii="宋体" w:hAnsi="宋体" w:eastAsia="宋体" w:cs="宋体"/>
                <w:color w:val="auto"/>
                <w:u w:val="single"/>
              </w:rPr>
              <w:t>　　　　　　　　</w:t>
            </w:r>
          </w:p>
        </w:tc>
        <w:tc>
          <w:tcPr>
            <w:tcW w:w="11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7BA2A03">
            <w:pPr>
              <w:rPr>
                <w:rFonts w:hint="eastAsia" w:ascii="宋体" w:hAnsi="宋体" w:eastAsia="宋体" w:cs="宋体"/>
                <w:color w:val="auto"/>
                <w:sz w:val="24"/>
                <w:szCs w:val="24"/>
              </w:rPr>
            </w:pPr>
          </w:p>
        </w:tc>
        <w:tc>
          <w:tcPr>
            <w:tcW w:w="5346" w:type="dxa"/>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9892F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a.&gt;投标报价的明细：详见《投标分项报价表》。</w:t>
            </w:r>
          </w:p>
          <w:p w14:paraId="27A466A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b.&gt;招标文件规定的价格扣除证明材料（若有）：详见报价部分。</w:t>
            </w:r>
          </w:p>
        </w:tc>
      </w:tr>
      <w:tr w14:paraId="69D1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2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ED886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233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9A0E9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投标总价（大写金额）：</w:t>
            </w:r>
            <w:r>
              <w:rPr>
                <w:rFonts w:hint="eastAsia" w:ascii="宋体" w:hAnsi="宋体" w:eastAsia="宋体" w:cs="宋体"/>
                <w:color w:val="auto"/>
                <w:u w:val="single"/>
              </w:rPr>
              <w:t>　　　　　　　　</w:t>
            </w:r>
          </w:p>
        </w:tc>
        <w:tc>
          <w:tcPr>
            <w:tcW w:w="116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4637F8">
            <w:pPr>
              <w:rPr>
                <w:rFonts w:hint="eastAsia" w:ascii="宋体" w:hAnsi="宋体" w:eastAsia="宋体" w:cs="宋体"/>
                <w:color w:val="auto"/>
                <w:sz w:val="24"/>
                <w:szCs w:val="24"/>
              </w:rPr>
            </w:pPr>
          </w:p>
        </w:tc>
        <w:tc>
          <w:tcPr>
            <w:tcW w:w="5346" w:type="dxa"/>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08ABA1">
            <w:pPr>
              <w:rPr>
                <w:rFonts w:hint="eastAsia" w:ascii="宋体" w:hAnsi="宋体" w:eastAsia="宋体" w:cs="宋体"/>
                <w:color w:val="auto"/>
                <w:sz w:val="24"/>
                <w:szCs w:val="24"/>
              </w:rPr>
            </w:pPr>
          </w:p>
        </w:tc>
      </w:tr>
    </w:tbl>
    <w:p w14:paraId="180C68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3B2A368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1、本表应按照下列规定填写：</w:t>
      </w:r>
    </w:p>
    <w:p w14:paraId="64ACBA5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1.1投标人应按照本表格式填写所投的采购包的“投标报价”。</w:t>
      </w:r>
    </w:p>
    <w:p w14:paraId="2963450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1.2本表中列示的“采购包”应与《投标分项报价表》中列示的“采购包”保持一致，即：若本表中列示的“采购包”为“1”时，《投标分项报价表》中列示的“采购包”亦应为“1”，以此类推。</w:t>
      </w:r>
    </w:p>
    <w:p w14:paraId="025BB56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1.3“大写金额”指“投标报价”应用“壹、贰、叁、肆、伍、陆、柒、捌、玖、拾、佰、仟、万、亿、元、角、分、零”等进行填写。</w:t>
      </w:r>
    </w:p>
    <w:p w14:paraId="1160392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0A8449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6EBB28B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i w:val="0"/>
          <w:iCs w:val="0"/>
          <w:caps w:val="0"/>
          <w:color w:val="auto"/>
          <w:spacing w:val="0"/>
          <w:sz w:val="27"/>
          <w:szCs w:val="27"/>
          <w:shd w:val="clear" w:fill="FFFFFF"/>
        </w:rPr>
      </w:pPr>
      <w:r>
        <w:rPr>
          <w:rFonts w:hint="eastAsia" w:ascii="宋体" w:hAnsi="宋体" w:eastAsia="宋体" w:cs="宋体"/>
          <w:i w:val="0"/>
          <w:iCs w:val="0"/>
          <w:caps w:val="0"/>
          <w:color w:val="auto"/>
          <w:spacing w:val="0"/>
          <w:sz w:val="21"/>
          <w:szCs w:val="21"/>
          <w:shd w:val="clear" w:fill="FFFFFF"/>
        </w:rPr>
        <w:t> </w:t>
      </w:r>
    </w:p>
    <w:p w14:paraId="62DD19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themeColor="text1"/>
          <w:spacing w:val="0"/>
          <w:kern w:val="0"/>
          <w:sz w:val="27"/>
          <w:szCs w:val="27"/>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7"/>
          <w:szCs w:val="27"/>
          <w:shd w:val="clear" w:fill="FFFFFF"/>
          <w:lang w:val="en-US" w:eastAsia="zh-CN" w:bidi="ar"/>
          <w14:textFill>
            <w14:solidFill>
              <w14:schemeClr w14:val="tx1"/>
            </w14:solidFill>
          </w14:textFill>
        </w:rPr>
        <w:t>二、投标分项报价表</w:t>
      </w:r>
    </w:p>
    <w:p w14:paraId="649AFE2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u w:val="single"/>
          <w14:textFill>
            <w14:solidFill>
              <w14:schemeClr w14:val="tx1"/>
            </w14:solidFill>
          </w14:textFill>
        </w:rPr>
        <w:t>　　　　　　　　</w:t>
      </w:r>
    </w:p>
    <w:p w14:paraId="46B2F3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货币及单位：人民币元</w:t>
      </w:r>
    </w:p>
    <w:tbl>
      <w:tblPr>
        <w:tblStyle w:val="18"/>
        <w:tblW w:w="48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1241"/>
        <w:gridCol w:w="951"/>
        <w:gridCol w:w="3159"/>
        <w:gridCol w:w="1121"/>
        <w:gridCol w:w="1104"/>
        <w:gridCol w:w="1308"/>
      </w:tblGrid>
      <w:tr w14:paraId="6C63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1AF8">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9826">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名称</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E29D">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面积（㎡）</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916A">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位置</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1D23">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备注</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A6F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t>价值评估价格</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19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租金评估价格</w:t>
            </w:r>
          </w:p>
        </w:tc>
      </w:tr>
      <w:tr w14:paraId="5528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35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11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地块一安商房821套</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80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1"/>
                <w:szCs w:val="21"/>
                <w:u w:val="none"/>
                <w:lang w:val="en-US" w:eastAsia="zh-CN" w:bidi="ar"/>
              </w:rPr>
              <w:t>76384.47</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8D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莆田市荔城区八二一北街绶溪璟悦</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11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703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36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5A4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F0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05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地块一商业店面198坎</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7A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21122.97</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513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莆田市荔城区八二一北街绶溪璟悦</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C5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价值评估+租金评估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672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071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D0C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19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18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地块二商业店面22坎</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A7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1312.07</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CF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莆田市荔城区八二一北街书香府</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ED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价值评估+租金评估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21C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7DA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A9A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E9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DA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地块九商业店面35坎</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27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3466.63</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A1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莆田市荔城区八二一北街棠颂和府</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B8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价值评估+租金评估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96D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CF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650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C3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A3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天汇售楼部及样板房</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76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1500</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15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莆田市荔城区保利天汇售楼部</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58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170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A00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64E7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B3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AB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地块一地下车位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22B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4563个</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6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莆田市荔城区八二一北街绶溪璟悦</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37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655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05B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343C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2F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396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地块二地下车位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FDA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1790个</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53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莆田市荔城区八二一北街书香府</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F1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1CA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CDDE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7FE6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3E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9C8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地块九地下车位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0D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74个</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23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莆田市荔城区八二一北街棠颂和府</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77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2B4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860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0976C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BE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6E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经营点003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A4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78</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FE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莆田市城厢区龙桥街道延寿村178号</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（绶溪公园2号出入口）</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A8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0B6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708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1FD3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E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B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经营点004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5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F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莆田市城厢区龙桥街道延寿村183号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（绶溪公园3号出入口）</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8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3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26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B7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0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D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经营点005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1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5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莆田市城厢区龙桥街道延寿村187号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（绶溪公园古渡一条街）</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5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6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E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71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F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2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经营点006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9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151.84</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8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莆田市城厢区龙桥街道延寿村188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（绶溪公园古渡一条街）</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D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9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9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6C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3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13</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B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经营点007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7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26.15</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D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莆田市荔城区西天尾镇溪白村企溪282号（绶溪公园古渡一条街）</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5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B5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E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43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7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14</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8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经营点008</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1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140.84</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8D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莆田市荔城区西天尾镇溪白村企溪285号（绶溪公园古渡一条街）</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C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5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A3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0C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9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15</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7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经营点009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6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C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莆田市荔城区西天尾镇溪白村企溪285号旁（绶溪公园古渡一条街）</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F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27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1E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6B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F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16</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3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经营点010</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0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28.72</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D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莆田市荔城区西天尾镇溪白村企溪287号旁（绶溪公园古渡一条街）</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4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9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C9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29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E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17</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4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经营点011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7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112.78</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B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莆田市荔城区西天尾镇溪白村企溪287号（绶溪公园古渡一条街）</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A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93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37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33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A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18</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8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经营点012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8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136.2</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3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莆田市荔城区西天尾镇溪白村企溪290号（绶溪公园古渡一条街）</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C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D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F0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7D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3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19</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6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经营点013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7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5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莆田市荔城区交战路洞湖村七组170号（绶溪公园5号出入口）</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7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9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61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83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C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8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经营点014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C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4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莆田市荔城区拱辰街道东圳东路640号2号楼（莆田市移动总公司后）</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C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2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AC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3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E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21</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0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经营点015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6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7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莆田市荔城区拱辰街道东圳东路640号3号楼（荔城区镇海街道SOS儿童村附近荔枝林带）</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E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E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C6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12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7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D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经营点016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9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E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莆田市荔城区拱辰街道荔园中路665号（荔城区海峡商务中心旁）</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C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8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2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39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0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23</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7B765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经营点018</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4F524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38426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莆田市荔城区镇海街道北大南街358号（天九湾广场）</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F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D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FC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4F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6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24</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5E5D3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经营点021</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63DB0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2364D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莆田市城厢区霞林街道荔园东路99号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（荔园东路喜盈门国际大厦旁）</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6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4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F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798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3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25</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24CE2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经营点022</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2DA64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76AFC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莆田市荔城区西天尾镇北大村北郊116号（荔枝林带北大段）</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4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0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EA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32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7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26</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2686D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经营点023</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40B45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4E44C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莆田市城厢区龙桥街道延寿村208号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（绶溪公园启动区鹅卵石沙滩）</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5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89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E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F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F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27</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4FE0A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经营点024</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4A914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2377A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莆田市城厢区龙桥街道延寿村延寿209号（绶溪公园启动区民俗馆旁）</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0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4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00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F5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8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28</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671E9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经营点026</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4B4BD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15DD5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莆田市荔城区交战路洞湖村七组170号（绶溪公园5号出入口）</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D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4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B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CB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8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29</w:t>
            </w:r>
          </w:p>
        </w:tc>
        <w:tc>
          <w:tcPr>
            <w:tcW w:w="659" w:type="pct"/>
            <w:tcBorders>
              <w:top w:val="single" w:color="000000" w:sz="4" w:space="0"/>
              <w:left w:val="single" w:color="000000" w:sz="4" w:space="0"/>
              <w:bottom w:val="single" w:color="auto" w:sz="4" w:space="0"/>
              <w:right w:val="single" w:color="000000" w:sz="4" w:space="0"/>
            </w:tcBorders>
            <w:shd w:val="clear" w:color="auto" w:fill="auto"/>
            <w:vAlign w:val="center"/>
          </w:tcPr>
          <w:p w14:paraId="3E661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玉湖管理房</w:t>
            </w:r>
          </w:p>
        </w:tc>
        <w:tc>
          <w:tcPr>
            <w:tcW w:w="505" w:type="pct"/>
            <w:tcBorders>
              <w:top w:val="single" w:color="000000" w:sz="4" w:space="0"/>
              <w:left w:val="single" w:color="000000" w:sz="4" w:space="0"/>
              <w:bottom w:val="single" w:color="auto" w:sz="4" w:space="0"/>
              <w:right w:val="single" w:color="000000" w:sz="4" w:space="0"/>
            </w:tcBorders>
            <w:shd w:val="clear" w:color="auto" w:fill="auto"/>
            <w:vAlign w:val="center"/>
          </w:tcPr>
          <w:p w14:paraId="6A5BA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679" w:type="pct"/>
            <w:tcBorders>
              <w:top w:val="single" w:color="000000" w:sz="4" w:space="0"/>
              <w:left w:val="single" w:color="000000" w:sz="4" w:space="0"/>
              <w:bottom w:val="single" w:color="auto" w:sz="4" w:space="0"/>
              <w:right w:val="single" w:color="000000" w:sz="4" w:space="0"/>
            </w:tcBorders>
            <w:shd w:val="clear" w:color="auto" w:fill="auto"/>
            <w:vAlign w:val="center"/>
          </w:tcPr>
          <w:p w14:paraId="78A13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莆田市荔城区镇海街道荔园南路1030号（玉湖公园）</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0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05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62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2A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65773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30</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44A44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2号码头管理房</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7C87D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center"/>
          </w:tcPr>
          <w:p w14:paraId="3583B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莆田市城厢区绶溪公园2号码头旁</w:t>
            </w:r>
          </w:p>
        </w:tc>
        <w:tc>
          <w:tcPr>
            <w:tcW w:w="59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39EE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E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73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D2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8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31</w:t>
            </w:r>
          </w:p>
        </w:tc>
        <w:tc>
          <w:tcPr>
            <w:tcW w:w="659" w:type="pct"/>
            <w:tcBorders>
              <w:top w:val="single" w:color="auto" w:sz="4" w:space="0"/>
              <w:left w:val="single" w:color="000000" w:sz="4" w:space="0"/>
              <w:bottom w:val="nil"/>
              <w:right w:val="single" w:color="000000" w:sz="4" w:space="0"/>
            </w:tcBorders>
            <w:shd w:val="clear" w:color="auto" w:fill="auto"/>
            <w:vAlign w:val="center"/>
          </w:tcPr>
          <w:p w14:paraId="189FA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游客咨询点</w:t>
            </w:r>
          </w:p>
        </w:tc>
        <w:tc>
          <w:tcPr>
            <w:tcW w:w="505" w:type="pct"/>
            <w:tcBorders>
              <w:top w:val="single" w:color="auto" w:sz="4" w:space="0"/>
              <w:left w:val="single" w:color="000000" w:sz="4" w:space="0"/>
              <w:bottom w:val="nil"/>
              <w:right w:val="single" w:color="000000" w:sz="4" w:space="0"/>
            </w:tcBorders>
            <w:shd w:val="clear" w:color="auto" w:fill="auto"/>
            <w:vAlign w:val="center"/>
          </w:tcPr>
          <w:p w14:paraId="40A80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123.4</w:t>
            </w:r>
          </w:p>
        </w:tc>
        <w:tc>
          <w:tcPr>
            <w:tcW w:w="1679" w:type="pct"/>
            <w:tcBorders>
              <w:top w:val="single" w:color="auto" w:sz="4" w:space="0"/>
              <w:left w:val="single" w:color="000000" w:sz="4" w:space="0"/>
              <w:bottom w:val="nil"/>
              <w:right w:val="single" w:color="000000" w:sz="4" w:space="0"/>
            </w:tcBorders>
            <w:shd w:val="clear" w:color="auto" w:fill="auto"/>
            <w:vAlign w:val="center"/>
          </w:tcPr>
          <w:p w14:paraId="4D609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莆田市城厢区绶溪公园2号口附近</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9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05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F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C6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5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32</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6D7EE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绶溪茶坊</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5A227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342C3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莆田市荔城区绶溪公园6号口附近</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D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73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62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76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B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33</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5DB54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6号口游客服务中心</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7C965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484.14</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620A6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莆田市荔城区绶溪公园6号口附近</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D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F2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CE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FF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3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34</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3DD03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状元阁</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56564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2742</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3F22E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莆田市荔城区绶溪公园6号出入口</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7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83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D5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41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2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35</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2C6E1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刘克庄陈列馆</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038D7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0F0CB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莆田市荔城区绶溪公园5号口附近</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A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A2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7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A5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2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36</w:t>
            </w:r>
          </w:p>
        </w:tc>
        <w:tc>
          <w:tcPr>
            <w:tcW w:w="659" w:type="pct"/>
            <w:tcBorders>
              <w:top w:val="single" w:color="000000" w:sz="4" w:space="0"/>
              <w:left w:val="single" w:color="000000" w:sz="4" w:space="0"/>
              <w:bottom w:val="single" w:color="auto" w:sz="4" w:space="0"/>
              <w:right w:val="single" w:color="000000" w:sz="4" w:space="0"/>
            </w:tcBorders>
            <w:shd w:val="clear" w:color="auto" w:fill="auto"/>
            <w:vAlign w:val="center"/>
          </w:tcPr>
          <w:p w14:paraId="5DE5D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民俗展馆</w:t>
            </w:r>
          </w:p>
        </w:tc>
        <w:tc>
          <w:tcPr>
            <w:tcW w:w="505" w:type="pct"/>
            <w:tcBorders>
              <w:top w:val="single" w:color="000000" w:sz="4" w:space="0"/>
              <w:left w:val="single" w:color="000000" w:sz="4" w:space="0"/>
              <w:bottom w:val="single" w:color="auto" w:sz="4" w:space="0"/>
              <w:right w:val="single" w:color="000000" w:sz="4" w:space="0"/>
            </w:tcBorders>
            <w:shd w:val="clear" w:color="auto" w:fill="auto"/>
            <w:vAlign w:val="center"/>
          </w:tcPr>
          <w:p w14:paraId="56820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c>
          <w:tcPr>
            <w:tcW w:w="1679" w:type="pct"/>
            <w:tcBorders>
              <w:top w:val="single" w:color="000000" w:sz="4" w:space="0"/>
              <w:left w:val="single" w:color="000000" w:sz="4" w:space="0"/>
              <w:bottom w:val="single" w:color="auto" w:sz="4" w:space="0"/>
              <w:right w:val="single" w:color="000000" w:sz="4" w:space="0"/>
            </w:tcBorders>
            <w:shd w:val="clear" w:color="auto" w:fill="auto"/>
            <w:vAlign w:val="center"/>
          </w:tcPr>
          <w:p w14:paraId="4AF1D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莆田市城厢区绶溪公园6号出入口</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E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E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6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F1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7A937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37</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01354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刘克庄纪念馆</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69A61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center"/>
          </w:tcPr>
          <w:p w14:paraId="37417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莆田市荔城区绶溪公园6号出入口</w:t>
            </w:r>
          </w:p>
        </w:tc>
        <w:tc>
          <w:tcPr>
            <w:tcW w:w="59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3986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E1791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44F69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56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D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38</w:t>
            </w:r>
          </w:p>
        </w:tc>
        <w:tc>
          <w:tcPr>
            <w:tcW w:w="659" w:type="pct"/>
            <w:tcBorders>
              <w:top w:val="single" w:color="auto" w:sz="4" w:space="0"/>
              <w:left w:val="single" w:color="000000" w:sz="4" w:space="0"/>
              <w:bottom w:val="single" w:color="auto" w:sz="4" w:space="0"/>
              <w:right w:val="single" w:color="000000" w:sz="4" w:space="0"/>
            </w:tcBorders>
            <w:shd w:val="clear" w:color="auto" w:fill="auto"/>
            <w:vAlign w:val="center"/>
          </w:tcPr>
          <w:p w14:paraId="6E873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沐晖堂（红色馆）</w:t>
            </w:r>
          </w:p>
        </w:tc>
        <w:tc>
          <w:tcPr>
            <w:tcW w:w="505" w:type="pct"/>
            <w:tcBorders>
              <w:top w:val="single" w:color="auto" w:sz="4" w:space="0"/>
              <w:left w:val="single" w:color="000000" w:sz="4" w:space="0"/>
              <w:bottom w:val="single" w:color="auto" w:sz="4" w:space="0"/>
              <w:right w:val="single" w:color="000000" w:sz="4" w:space="0"/>
            </w:tcBorders>
            <w:shd w:val="clear" w:color="auto" w:fill="auto"/>
            <w:vAlign w:val="center"/>
          </w:tcPr>
          <w:p w14:paraId="713F0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679" w:type="pct"/>
            <w:tcBorders>
              <w:top w:val="single" w:color="auto" w:sz="4" w:space="0"/>
              <w:left w:val="single" w:color="000000" w:sz="4" w:space="0"/>
              <w:bottom w:val="single" w:color="auto" w:sz="4" w:space="0"/>
              <w:right w:val="single" w:color="000000" w:sz="4" w:space="0"/>
            </w:tcBorders>
            <w:shd w:val="clear" w:color="auto" w:fill="auto"/>
            <w:vAlign w:val="center"/>
          </w:tcPr>
          <w:p w14:paraId="4556F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莆田市荔城区绶溪公园6号出入口</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4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95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3A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EA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2B9EA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1"/>
                <w:szCs w:val="21"/>
                <w:u w:val="none"/>
                <w:lang w:val="en-US" w:eastAsia="zh-CN"/>
              </w:rPr>
              <w:t>39</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54377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琴思苑（琴馆)</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4095C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center"/>
          </w:tcPr>
          <w:p w14:paraId="1112B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莆田市荔城区绶溪公园6号出入口</w:t>
            </w:r>
          </w:p>
        </w:tc>
        <w:tc>
          <w:tcPr>
            <w:tcW w:w="59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0DC4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3384E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49E1F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08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auto" w:sz="4" w:space="0"/>
            </w:tcBorders>
            <w:shd w:val="clear" w:color="auto" w:fill="auto"/>
            <w:vAlign w:val="center"/>
          </w:tcPr>
          <w:p w14:paraId="0E191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40</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63323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棋韵斋（棋馆)</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14:paraId="446A7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center"/>
          </w:tcPr>
          <w:p w14:paraId="30219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莆田市荔城区绶溪公园6号出入口</w:t>
            </w:r>
          </w:p>
        </w:tc>
        <w:tc>
          <w:tcPr>
            <w:tcW w:w="59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DBA5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78EC9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83284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EC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3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40</w:t>
            </w:r>
          </w:p>
        </w:tc>
        <w:tc>
          <w:tcPr>
            <w:tcW w:w="659" w:type="pct"/>
            <w:tcBorders>
              <w:top w:val="single" w:color="auto" w:sz="4" w:space="0"/>
              <w:left w:val="single" w:color="000000" w:sz="4" w:space="0"/>
              <w:bottom w:val="nil"/>
              <w:right w:val="single" w:color="000000" w:sz="4" w:space="0"/>
            </w:tcBorders>
            <w:shd w:val="clear" w:color="auto" w:fill="auto"/>
            <w:vAlign w:val="center"/>
          </w:tcPr>
          <w:p w14:paraId="0D251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书香馆（书馆）</w:t>
            </w:r>
          </w:p>
        </w:tc>
        <w:tc>
          <w:tcPr>
            <w:tcW w:w="505" w:type="pct"/>
            <w:tcBorders>
              <w:top w:val="single" w:color="auto" w:sz="4" w:space="0"/>
              <w:left w:val="single" w:color="000000" w:sz="4" w:space="0"/>
              <w:bottom w:val="nil"/>
              <w:right w:val="single" w:color="000000" w:sz="4" w:space="0"/>
            </w:tcBorders>
            <w:shd w:val="clear" w:color="auto" w:fill="auto"/>
            <w:vAlign w:val="center"/>
          </w:tcPr>
          <w:p w14:paraId="4D6DE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679" w:type="pct"/>
            <w:tcBorders>
              <w:top w:val="single" w:color="auto" w:sz="4" w:space="0"/>
              <w:left w:val="single" w:color="000000" w:sz="4" w:space="0"/>
              <w:bottom w:val="nil"/>
              <w:right w:val="single" w:color="000000" w:sz="4" w:space="0"/>
            </w:tcBorders>
            <w:shd w:val="clear" w:color="auto" w:fill="auto"/>
            <w:vAlign w:val="center"/>
          </w:tcPr>
          <w:p w14:paraId="3BA94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莆田市荔城区绶溪公园6号出入口</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9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C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D2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F2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3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42</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3E2F5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翰墨轩（画馆）</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1EF59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618FB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莆田市荔城区绶溪公园6号出入口</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0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1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B8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E6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A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43</w:t>
            </w:r>
          </w:p>
        </w:tc>
        <w:tc>
          <w:tcPr>
            <w:tcW w:w="659" w:type="pct"/>
            <w:tcBorders>
              <w:top w:val="single" w:color="000000" w:sz="4" w:space="0"/>
              <w:left w:val="single" w:color="000000" w:sz="4" w:space="0"/>
              <w:bottom w:val="nil"/>
              <w:right w:val="single" w:color="000000" w:sz="4" w:space="0"/>
            </w:tcBorders>
            <w:shd w:val="clear" w:color="auto" w:fill="auto"/>
            <w:vAlign w:val="center"/>
          </w:tcPr>
          <w:p w14:paraId="361F1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精神文明馆</w:t>
            </w:r>
          </w:p>
        </w:tc>
        <w:tc>
          <w:tcPr>
            <w:tcW w:w="505" w:type="pct"/>
            <w:tcBorders>
              <w:top w:val="single" w:color="000000" w:sz="4" w:space="0"/>
              <w:left w:val="single" w:color="000000" w:sz="4" w:space="0"/>
              <w:bottom w:val="nil"/>
              <w:right w:val="single" w:color="000000" w:sz="4" w:space="0"/>
            </w:tcBorders>
            <w:shd w:val="clear" w:color="auto" w:fill="auto"/>
            <w:vAlign w:val="center"/>
          </w:tcPr>
          <w:p w14:paraId="6FF78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79" w:type="pct"/>
            <w:tcBorders>
              <w:top w:val="single" w:color="000000" w:sz="4" w:space="0"/>
              <w:left w:val="single" w:color="000000" w:sz="4" w:space="0"/>
              <w:bottom w:val="nil"/>
              <w:right w:val="single" w:color="000000" w:sz="4" w:space="0"/>
            </w:tcBorders>
            <w:shd w:val="clear" w:color="auto" w:fill="auto"/>
            <w:vAlign w:val="center"/>
          </w:tcPr>
          <w:p w14:paraId="68F96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莆田市荔城区绶溪公园6号出入口</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C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价值评估</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A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11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ED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C0E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总价：</w:t>
            </w:r>
          </w:p>
        </w:tc>
      </w:tr>
      <w:tr w14:paraId="0B94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54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备注：以上资产项目可能存在变动，具体评估的资产以园林集团实际需求为准。</w:t>
            </w:r>
          </w:p>
        </w:tc>
      </w:tr>
    </w:tbl>
    <w:p w14:paraId="7100E7D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56FE29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1、本表应按照下列规定填写：</w:t>
      </w:r>
    </w:p>
    <w:p w14:paraId="7FF6B31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1.1投标人应按照本表格式填写所投采购包的分项报价，其中：“采购包”、“品目号”、“投标标的”应与招标文件《采购标的一览表》中的有关内容（“采购包”、“品目号”、“采购标的”）保持一致，“采购包”还应与《开标一览表》中列示的“采购包”保持一致，即：若《开标一览表》中列示的“采购包”为“1”时，本表中列示的“采购包”亦应为“1”，以此类推。</w:t>
      </w:r>
    </w:p>
    <w:p w14:paraId="41D11BB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7046A37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0ACCD4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i w:val="0"/>
          <w:iCs w:val="0"/>
          <w:caps w:val="0"/>
          <w:color w:val="auto"/>
          <w:spacing w:val="0"/>
          <w:sz w:val="21"/>
          <w:szCs w:val="21"/>
          <w:shd w:val="clear" w:fill="FFFFFF"/>
        </w:rPr>
        <w:t> </w:t>
      </w:r>
      <w:r>
        <w:rPr>
          <w:rFonts w:hint="eastAsia" w:ascii="宋体" w:hAnsi="宋体" w:eastAsia="宋体" w:cs="宋体"/>
          <w:b/>
          <w:bCs/>
          <w:i w:val="0"/>
          <w:iCs w:val="0"/>
          <w:caps w:val="0"/>
          <w:color w:val="auto"/>
          <w:spacing w:val="0"/>
          <w:sz w:val="27"/>
          <w:szCs w:val="27"/>
          <w:shd w:val="clear" w:fill="FFFFFF"/>
        </w:rPr>
        <w:t>三、招标文件规定的价格扣除证明材料（若有）</w:t>
      </w:r>
    </w:p>
    <w:p w14:paraId="1FFDCE5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三-1优先类节能产品、环境标志产品价格扣除证明材料（若有）</w:t>
      </w:r>
    </w:p>
    <w:p w14:paraId="69A546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三-1-①优先类节能产品、环境标志产品统计表（价格扣除适用，若有）</w:t>
      </w:r>
    </w:p>
    <w:p w14:paraId="73AE2B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p w14:paraId="5A590FD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货币及单位：人民币元</w:t>
      </w:r>
    </w:p>
    <w:tbl>
      <w:tblPr>
        <w:tblStyle w:val="18"/>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6"/>
        <w:gridCol w:w="1175"/>
        <w:gridCol w:w="1412"/>
        <w:gridCol w:w="2001"/>
        <w:gridCol w:w="937"/>
        <w:gridCol w:w="2000"/>
        <w:gridCol w:w="1413"/>
      </w:tblGrid>
      <w:tr w14:paraId="7F81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3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9C00FD">
            <w:pPr>
              <w:rPr>
                <w:rFonts w:hint="eastAsia" w:ascii="宋体" w:hAnsi="宋体" w:eastAsia="宋体" w:cs="宋体"/>
                <w:color w:val="auto"/>
                <w:sz w:val="24"/>
                <w:szCs w:val="24"/>
              </w:rPr>
            </w:pPr>
          </w:p>
        </w:tc>
        <w:tc>
          <w:tcPr>
            <w:tcW w:w="8938" w:type="dxa"/>
            <w:gridSpan w:val="6"/>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12D3A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rPr>
            </w:pPr>
            <w:r>
              <w:rPr>
                <w:rFonts w:hint="eastAsia" w:ascii="宋体" w:hAnsi="宋体" w:eastAsia="宋体" w:cs="宋体"/>
                <w:color w:val="auto"/>
              </w:rPr>
              <w:t>本采购包内属于节能、环境标志产品的情况</w:t>
            </w:r>
          </w:p>
        </w:tc>
      </w:tr>
      <w:tr w14:paraId="52B8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3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01E79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采购包</w:t>
            </w:r>
          </w:p>
        </w:tc>
        <w:tc>
          <w:tcPr>
            <w:tcW w:w="11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3555A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品目号</w:t>
            </w: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B8EAB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货物名称</w:t>
            </w:r>
          </w:p>
        </w:tc>
        <w:tc>
          <w:tcPr>
            <w:tcW w:w="200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EAD27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单价（现场）</w:t>
            </w:r>
          </w:p>
        </w:tc>
        <w:tc>
          <w:tcPr>
            <w:tcW w:w="9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8BF65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数量</w:t>
            </w:r>
          </w:p>
        </w:tc>
        <w:tc>
          <w:tcPr>
            <w:tcW w:w="20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674AB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总价（现场）</w:t>
            </w:r>
          </w:p>
        </w:tc>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9B929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认证种类</w:t>
            </w:r>
          </w:p>
        </w:tc>
      </w:tr>
      <w:tr w14:paraId="5E0A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6" w:type="dxa"/>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782A9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11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EB15F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*-1</w:t>
            </w: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0389D8">
            <w:pPr>
              <w:rPr>
                <w:rFonts w:hint="eastAsia" w:ascii="宋体" w:hAnsi="宋体" w:eastAsia="宋体" w:cs="宋体"/>
                <w:color w:val="auto"/>
                <w:sz w:val="24"/>
                <w:szCs w:val="24"/>
              </w:rPr>
            </w:pPr>
          </w:p>
        </w:tc>
        <w:tc>
          <w:tcPr>
            <w:tcW w:w="200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CB298D">
            <w:pPr>
              <w:rPr>
                <w:rFonts w:hint="eastAsia" w:ascii="宋体" w:hAnsi="宋体" w:eastAsia="宋体" w:cs="宋体"/>
                <w:color w:val="auto"/>
                <w:sz w:val="24"/>
                <w:szCs w:val="24"/>
              </w:rPr>
            </w:pPr>
          </w:p>
        </w:tc>
        <w:tc>
          <w:tcPr>
            <w:tcW w:w="9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6FB3A5">
            <w:pPr>
              <w:rPr>
                <w:rFonts w:hint="eastAsia" w:ascii="宋体" w:hAnsi="宋体" w:eastAsia="宋体" w:cs="宋体"/>
                <w:color w:val="auto"/>
                <w:sz w:val="24"/>
                <w:szCs w:val="24"/>
              </w:rPr>
            </w:pPr>
          </w:p>
        </w:tc>
        <w:tc>
          <w:tcPr>
            <w:tcW w:w="20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D6F185">
            <w:pPr>
              <w:rPr>
                <w:rFonts w:hint="eastAsia" w:ascii="宋体" w:hAnsi="宋体" w:eastAsia="宋体" w:cs="宋体"/>
                <w:color w:val="auto"/>
                <w:sz w:val="24"/>
                <w:szCs w:val="24"/>
              </w:rPr>
            </w:pPr>
          </w:p>
        </w:tc>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83ECD8">
            <w:pPr>
              <w:rPr>
                <w:rFonts w:hint="eastAsia" w:ascii="宋体" w:hAnsi="宋体" w:eastAsia="宋体" w:cs="宋体"/>
                <w:color w:val="auto"/>
                <w:sz w:val="24"/>
                <w:szCs w:val="24"/>
              </w:rPr>
            </w:pPr>
          </w:p>
        </w:tc>
      </w:tr>
      <w:tr w14:paraId="47F5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36" w:type="dxa"/>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FC837D">
            <w:pPr>
              <w:rPr>
                <w:rFonts w:hint="eastAsia" w:ascii="宋体" w:hAnsi="宋体" w:eastAsia="宋体" w:cs="宋体"/>
                <w:color w:val="auto"/>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08477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059738">
            <w:pPr>
              <w:rPr>
                <w:rFonts w:hint="eastAsia" w:ascii="宋体" w:hAnsi="宋体" w:eastAsia="宋体" w:cs="宋体"/>
                <w:color w:val="auto"/>
                <w:sz w:val="24"/>
                <w:szCs w:val="24"/>
              </w:rPr>
            </w:pPr>
          </w:p>
        </w:tc>
        <w:tc>
          <w:tcPr>
            <w:tcW w:w="200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7F19CF">
            <w:pPr>
              <w:rPr>
                <w:rFonts w:hint="eastAsia" w:ascii="宋体" w:hAnsi="宋体" w:eastAsia="宋体" w:cs="宋体"/>
                <w:color w:val="auto"/>
                <w:sz w:val="24"/>
                <w:szCs w:val="24"/>
              </w:rPr>
            </w:pPr>
          </w:p>
        </w:tc>
        <w:tc>
          <w:tcPr>
            <w:tcW w:w="93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5AFEC6">
            <w:pPr>
              <w:rPr>
                <w:rFonts w:hint="eastAsia" w:ascii="宋体" w:hAnsi="宋体" w:eastAsia="宋体" w:cs="宋体"/>
                <w:color w:val="auto"/>
                <w:sz w:val="24"/>
                <w:szCs w:val="24"/>
              </w:rPr>
            </w:pPr>
          </w:p>
        </w:tc>
        <w:tc>
          <w:tcPr>
            <w:tcW w:w="200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F4A9407">
            <w:pPr>
              <w:rPr>
                <w:rFonts w:hint="eastAsia" w:ascii="宋体" w:hAnsi="宋体" w:eastAsia="宋体" w:cs="宋体"/>
                <w:color w:val="auto"/>
                <w:sz w:val="24"/>
                <w:szCs w:val="24"/>
              </w:rPr>
            </w:pPr>
          </w:p>
        </w:tc>
        <w:tc>
          <w:tcPr>
            <w:tcW w:w="141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29051E">
            <w:pPr>
              <w:rPr>
                <w:rFonts w:hint="eastAsia" w:ascii="宋体" w:hAnsi="宋体" w:eastAsia="宋体" w:cs="宋体"/>
                <w:color w:val="auto"/>
                <w:sz w:val="24"/>
                <w:szCs w:val="24"/>
              </w:rPr>
            </w:pPr>
          </w:p>
        </w:tc>
      </w:tr>
      <w:tr w14:paraId="5A1B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3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D3EA5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备注</w:t>
            </w:r>
          </w:p>
        </w:tc>
        <w:tc>
          <w:tcPr>
            <w:tcW w:w="8938" w:type="dxa"/>
            <w:gridSpan w:val="6"/>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D517A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a.采购包内属于节能、环境标志产品的报价总金额：</w:t>
            </w:r>
            <w:r>
              <w:rPr>
                <w:rFonts w:hint="eastAsia" w:ascii="宋体" w:hAnsi="宋体" w:eastAsia="宋体" w:cs="宋体"/>
                <w:color w:val="auto"/>
                <w:u w:val="single"/>
              </w:rPr>
              <w:t>　　　　　</w:t>
            </w:r>
            <w:r>
              <w:rPr>
                <w:rFonts w:hint="eastAsia" w:ascii="宋体" w:hAnsi="宋体" w:eastAsia="宋体" w:cs="宋体"/>
                <w:color w:val="auto"/>
              </w:rPr>
              <w:t>；</w:t>
            </w:r>
          </w:p>
          <w:p w14:paraId="51D7B67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b.采购包投标总价（报价总金额）：</w:t>
            </w:r>
            <w:r>
              <w:rPr>
                <w:rFonts w:hint="eastAsia" w:ascii="宋体" w:hAnsi="宋体" w:eastAsia="宋体" w:cs="宋体"/>
                <w:color w:val="auto"/>
                <w:u w:val="single"/>
              </w:rPr>
              <w:t>　　　　　</w:t>
            </w:r>
            <w:r>
              <w:rPr>
                <w:rFonts w:hint="eastAsia" w:ascii="宋体" w:hAnsi="宋体" w:eastAsia="宋体" w:cs="宋体"/>
                <w:color w:val="auto"/>
              </w:rPr>
              <w:t>；</w:t>
            </w:r>
          </w:p>
          <w:p w14:paraId="2E673AE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c.“采购包内属于节能、环境标志产品的报价总金额”占“采购包投标总价（报价总金额）”的比例（以%列示）：</w:t>
            </w:r>
            <w:r>
              <w:rPr>
                <w:rFonts w:hint="eastAsia" w:ascii="宋体" w:hAnsi="宋体" w:eastAsia="宋体" w:cs="宋体"/>
                <w:color w:val="auto"/>
                <w:u w:val="single"/>
              </w:rPr>
              <w:t>　　　　　</w:t>
            </w:r>
            <w:r>
              <w:rPr>
                <w:rFonts w:hint="eastAsia" w:ascii="宋体" w:hAnsi="宋体" w:eastAsia="宋体" w:cs="宋体"/>
                <w:color w:val="auto"/>
              </w:rPr>
              <w:t>；</w:t>
            </w:r>
          </w:p>
        </w:tc>
      </w:tr>
    </w:tbl>
    <w:p w14:paraId="47CFC86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1A3E39A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1、对节能、环境标志产品计算价格扣除时，只依据</w:t>
      </w:r>
      <w:r>
        <w:rPr>
          <w:rFonts w:hint="eastAsia" w:ascii="宋体" w:hAnsi="宋体" w:eastAsia="宋体" w:cs="宋体"/>
          <w:color w:val="auto"/>
          <w:lang w:eastAsia="zh-CN"/>
        </w:rPr>
        <w:t>投标文件</w:t>
      </w:r>
      <w:r>
        <w:rPr>
          <w:rFonts w:hint="eastAsia" w:ascii="宋体" w:hAnsi="宋体" w:eastAsia="宋体" w:cs="宋体"/>
          <w:color w:val="auto"/>
        </w:rPr>
        <w:t>“三-1-②优先类节能产品、环境标志产品证明材料（价格扣除适用，若有）”。</w:t>
      </w:r>
    </w:p>
    <w:p w14:paraId="3FF09B0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2、本表以采购包为单位，不同采购包请分别填写；同一采购包请按照其品目号顺序分别填写。</w:t>
      </w:r>
    </w:p>
    <w:p w14:paraId="035AAA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3、具体统计、计算：</w:t>
      </w:r>
    </w:p>
    <w:p w14:paraId="53FCFA7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3.1若节能、环境标志产品仅是构成投标产品的部件、组件或零件，则该投标产品不享受鼓励优惠政策。同一品目中各认证证书不重复计算价格扣除。强制类节能产品不享受价格扣除。</w:t>
      </w:r>
    </w:p>
    <w:p w14:paraId="14E86C0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3.2计算结果若除不尽，可四舍五入保留到小数点后两位。</w:t>
      </w:r>
    </w:p>
    <w:p w14:paraId="5151CB6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3.3投标人应按照招标文件要求认真统计、计算，否则评标委员会不予认定。</w:t>
      </w:r>
    </w:p>
    <w:p w14:paraId="709D20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3.4若无节能、环境标志产品，不填写本表，否则，视为提供虚假材料。</w:t>
      </w:r>
    </w:p>
    <w:p w14:paraId="01FAF37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940EA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r>
        <w:rPr>
          <w:rFonts w:hint="eastAsia" w:ascii="宋体" w:hAnsi="宋体" w:eastAsia="宋体" w:cs="宋体"/>
          <w:color w:val="auto"/>
        </w:rPr>
        <w:t> </w:t>
      </w:r>
    </w:p>
    <w:p w14:paraId="6C9E64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p>
    <w:p w14:paraId="7448ED5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三-1-②优先类节能产品、环境标志产品证明材料（价格扣除适用，若有）</w:t>
      </w:r>
    </w:p>
    <w:p w14:paraId="37A18C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三-2小型、微型企业产品等价格扣除证明材料（若有）</w:t>
      </w:r>
    </w:p>
    <w:p w14:paraId="41EA03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三-2-①中小企业声明函（价格扣除适用，若有）</w:t>
      </w:r>
    </w:p>
    <w:p w14:paraId="31B8D43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中小企业声明函（货物）</w:t>
      </w:r>
    </w:p>
    <w:p w14:paraId="013D07D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0EFA2E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szCs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0221E9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375F3F6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w:t>
      </w:r>
    </w:p>
    <w:p w14:paraId="4C66ABB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692A8C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7BB66C4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92ACE6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CB34D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7F74909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4C7C4D9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2C756A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D5BE4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中小企业声明函（工程、服务）</w:t>
      </w:r>
    </w:p>
    <w:p w14:paraId="0228B42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26EB311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szCs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55CDA2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2533319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w:t>
      </w:r>
    </w:p>
    <w:p w14:paraId="2053815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62629D9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6040A90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7D71639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63D2D7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0FA92D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47C8911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B30C76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E0FCF6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3B6BD12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p>
    <w:p w14:paraId="35309390">
      <w:pPr>
        <w:rPr>
          <w:rFonts w:hint="eastAsia"/>
          <w:color w:val="auto"/>
        </w:rPr>
      </w:pPr>
    </w:p>
    <w:p w14:paraId="356FDFB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三-2-②小型、微型企业等证明材料（价格扣除适用，若有）</w:t>
      </w:r>
    </w:p>
    <w:p w14:paraId="430C0A2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rPr>
      </w:pPr>
      <w:r>
        <w:rPr>
          <w:rFonts w:hint="eastAsia" w:ascii="宋体" w:hAnsi="宋体" w:eastAsia="宋体" w:cs="宋体"/>
          <w:color w:val="auto"/>
        </w:rPr>
        <w:t>编制说明</w:t>
      </w:r>
    </w:p>
    <w:p w14:paraId="36CF3EB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1、投标人应按照招标文件要求提供相应证明材料，证明材料应与《中小企业声明函》的内容相一致，否则视为《中小企业声明函》内容不真实。</w:t>
      </w:r>
    </w:p>
    <w:p w14:paraId="1B454A8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2、投标人为监狱企业的，根据其提供的由省级以上监狱管理局、戒毒管理局（含新疆生产建设兵团）出具的属于监狱企业的证明文件进行认定，监狱企业视同小型、微型企业。</w:t>
      </w:r>
    </w:p>
    <w:p w14:paraId="7E97E6D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3、投标人为残疾人福利性单位的，根据其提供的《残疾人福利性单位声明函》（格式附后）进行认定，残疾人福利性单位视同小型、微型企业。残疾人福利性单位属于小型、微型企业的，不重复享受政策。</w:t>
      </w:r>
    </w:p>
    <w:p w14:paraId="20A40C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附：</w:t>
      </w:r>
    </w:p>
    <w:p w14:paraId="1757C8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残疾人福利性单位声明函（价格扣除适用，若有）</w:t>
      </w:r>
    </w:p>
    <w:p w14:paraId="1D232CD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CEF99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D878EC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5DB8BBB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349441E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3ABDB32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备注：</w:t>
      </w:r>
    </w:p>
    <w:p w14:paraId="31336D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191B95A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3C7B402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E812FF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040828F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p>
    <w:p w14:paraId="4937EE5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p>
    <w:p w14:paraId="1F91D14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p>
    <w:p w14:paraId="6F8CEA0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03E1E74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附：</w:t>
      </w:r>
    </w:p>
    <w:p w14:paraId="18A445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监狱企业证明材料</w:t>
      </w:r>
    </w:p>
    <w:p w14:paraId="5AF7204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w:t>
      </w:r>
      <w:r>
        <w:rPr>
          <w:rFonts w:hint="eastAsia" w:ascii="宋体" w:hAnsi="宋体" w:eastAsia="宋体" w:cs="宋体"/>
          <w:color w:val="auto"/>
          <w:lang w:eastAsia="zh-CN"/>
        </w:rPr>
        <w:t>投标文件</w:t>
      </w:r>
      <w:r>
        <w:rPr>
          <w:rFonts w:hint="eastAsia" w:ascii="宋体" w:hAnsi="宋体" w:eastAsia="宋体" w:cs="宋体"/>
          <w:color w:val="auto"/>
        </w:rPr>
        <w:t>中提供省级以上监狱管理局、戒毒管理局（含新疆生产建设兵团）出具的属于监狱企业的证明文件。</w:t>
      </w:r>
    </w:p>
    <w:p w14:paraId="4EE9DBE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3FA626D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三-3招标文件规定的其他价格扣除证明材料（若有）</w:t>
      </w:r>
    </w:p>
    <w:p w14:paraId="0CE9464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rPr>
      </w:pPr>
      <w:r>
        <w:rPr>
          <w:rFonts w:hint="eastAsia" w:ascii="宋体" w:hAnsi="宋体" w:eastAsia="宋体" w:cs="宋体"/>
          <w:color w:val="auto"/>
        </w:rPr>
        <w:t>编制说明</w:t>
      </w:r>
    </w:p>
    <w:p w14:paraId="012CD95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若投标人可享受招标文件规定的除“节能（非强制类）、环境标志产品价格扣除”及“小型、微型企业产品等价格扣除”外的其他价格扣除优惠，则投标人应按照招标文件要求提供相应证明材料。</w:t>
      </w:r>
    </w:p>
    <w:p w14:paraId="11D786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 </w:t>
      </w:r>
    </w:p>
    <w:p w14:paraId="31115C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四、招标文件规定的加分证明材料（若有）</w:t>
      </w:r>
    </w:p>
    <w:p w14:paraId="6D7A6AC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四-1优先类节能产品、环境标志产品加分证明材料（若有）</w:t>
      </w:r>
    </w:p>
    <w:p w14:paraId="4C6E05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四-1-①优先类节能产品、环境标志产品统计表（加分适用，若有）</w:t>
      </w:r>
    </w:p>
    <w:p w14:paraId="1A402A6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p w14:paraId="7C52EA4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货币及单位：人民币元</w:t>
      </w:r>
    </w:p>
    <w:tbl>
      <w:tblPr>
        <w:tblStyle w:val="18"/>
        <w:tblW w:w="96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05"/>
        <w:gridCol w:w="1105"/>
        <w:gridCol w:w="1381"/>
        <w:gridCol w:w="1933"/>
        <w:gridCol w:w="828"/>
        <w:gridCol w:w="1933"/>
        <w:gridCol w:w="1387"/>
      </w:tblGrid>
      <w:tr w14:paraId="18B6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88695F">
            <w:pPr>
              <w:rPr>
                <w:rFonts w:hint="eastAsia" w:ascii="宋体" w:hAnsi="宋体" w:eastAsia="宋体" w:cs="宋体"/>
                <w:color w:val="auto"/>
                <w:sz w:val="24"/>
                <w:szCs w:val="24"/>
              </w:rPr>
            </w:pPr>
          </w:p>
        </w:tc>
        <w:tc>
          <w:tcPr>
            <w:tcW w:w="8567" w:type="dxa"/>
            <w:gridSpan w:val="6"/>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C1103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color w:val="auto"/>
              </w:rPr>
            </w:pPr>
            <w:r>
              <w:rPr>
                <w:rFonts w:hint="eastAsia" w:ascii="宋体" w:hAnsi="宋体" w:eastAsia="宋体" w:cs="宋体"/>
                <w:color w:val="auto"/>
              </w:rPr>
              <w:t>本采购包内属于节能、环境标志产品的情况</w:t>
            </w:r>
          </w:p>
        </w:tc>
      </w:tr>
      <w:tr w14:paraId="4659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379B4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采购包</w:t>
            </w:r>
          </w:p>
        </w:tc>
        <w:tc>
          <w:tcPr>
            <w:tcW w:w="11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A04B9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品目号</w:t>
            </w:r>
          </w:p>
        </w:tc>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18ABD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货物名称</w:t>
            </w:r>
          </w:p>
        </w:tc>
        <w:tc>
          <w:tcPr>
            <w:tcW w:w="19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93AFC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单价（现场）</w:t>
            </w:r>
          </w:p>
        </w:tc>
        <w:tc>
          <w:tcPr>
            <w:tcW w:w="82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AF205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数量</w:t>
            </w:r>
          </w:p>
        </w:tc>
        <w:tc>
          <w:tcPr>
            <w:tcW w:w="19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275CE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总价（现场）</w:t>
            </w:r>
          </w:p>
        </w:tc>
        <w:tc>
          <w:tcPr>
            <w:tcW w:w="138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7CEA0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认证种类</w:t>
            </w:r>
          </w:p>
        </w:tc>
      </w:tr>
      <w:tr w14:paraId="39B9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5" w:type="dxa"/>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D005F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11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BE231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*-1</w:t>
            </w:r>
          </w:p>
        </w:tc>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0F70FD">
            <w:pPr>
              <w:rPr>
                <w:rFonts w:hint="eastAsia" w:ascii="宋体" w:hAnsi="宋体" w:eastAsia="宋体" w:cs="宋体"/>
                <w:color w:val="auto"/>
                <w:sz w:val="24"/>
                <w:szCs w:val="24"/>
              </w:rPr>
            </w:pPr>
          </w:p>
        </w:tc>
        <w:tc>
          <w:tcPr>
            <w:tcW w:w="19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AE6289">
            <w:pPr>
              <w:rPr>
                <w:rFonts w:hint="eastAsia" w:ascii="宋体" w:hAnsi="宋体" w:eastAsia="宋体" w:cs="宋体"/>
                <w:color w:val="auto"/>
                <w:sz w:val="24"/>
                <w:szCs w:val="24"/>
              </w:rPr>
            </w:pPr>
          </w:p>
        </w:tc>
        <w:tc>
          <w:tcPr>
            <w:tcW w:w="82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850AAD">
            <w:pPr>
              <w:rPr>
                <w:rFonts w:hint="eastAsia" w:ascii="宋体" w:hAnsi="宋体" w:eastAsia="宋体" w:cs="宋体"/>
                <w:color w:val="auto"/>
                <w:sz w:val="24"/>
                <w:szCs w:val="24"/>
              </w:rPr>
            </w:pPr>
          </w:p>
        </w:tc>
        <w:tc>
          <w:tcPr>
            <w:tcW w:w="19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9E5CA9">
            <w:pPr>
              <w:rPr>
                <w:rFonts w:hint="eastAsia" w:ascii="宋体" w:hAnsi="宋体" w:eastAsia="宋体" w:cs="宋体"/>
                <w:color w:val="auto"/>
                <w:sz w:val="24"/>
                <w:szCs w:val="24"/>
              </w:rPr>
            </w:pPr>
          </w:p>
        </w:tc>
        <w:tc>
          <w:tcPr>
            <w:tcW w:w="138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1E82C1">
            <w:pPr>
              <w:rPr>
                <w:rFonts w:hint="eastAsia" w:ascii="宋体" w:hAnsi="宋体" w:eastAsia="宋体" w:cs="宋体"/>
                <w:color w:val="auto"/>
                <w:sz w:val="24"/>
                <w:szCs w:val="24"/>
              </w:rPr>
            </w:pPr>
          </w:p>
        </w:tc>
      </w:tr>
      <w:tr w14:paraId="2ADB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BF1781">
            <w:pPr>
              <w:rPr>
                <w:rFonts w:hint="eastAsia" w:ascii="宋体" w:hAnsi="宋体" w:eastAsia="宋体" w:cs="宋体"/>
                <w:color w:val="auto"/>
                <w:sz w:val="24"/>
                <w:szCs w:val="24"/>
              </w:rPr>
            </w:pPr>
          </w:p>
        </w:tc>
        <w:tc>
          <w:tcPr>
            <w:tcW w:w="110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5B95A8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138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73BCDD6">
            <w:pPr>
              <w:rPr>
                <w:rFonts w:hint="eastAsia" w:ascii="宋体" w:hAnsi="宋体" w:eastAsia="宋体" w:cs="宋体"/>
                <w:color w:val="auto"/>
                <w:sz w:val="24"/>
                <w:szCs w:val="24"/>
              </w:rPr>
            </w:pPr>
          </w:p>
        </w:tc>
        <w:tc>
          <w:tcPr>
            <w:tcW w:w="19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5F335B">
            <w:pPr>
              <w:rPr>
                <w:rFonts w:hint="eastAsia" w:ascii="宋体" w:hAnsi="宋体" w:eastAsia="宋体" w:cs="宋体"/>
                <w:color w:val="auto"/>
                <w:sz w:val="24"/>
                <w:szCs w:val="24"/>
              </w:rPr>
            </w:pPr>
          </w:p>
        </w:tc>
        <w:tc>
          <w:tcPr>
            <w:tcW w:w="82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F33F0B">
            <w:pPr>
              <w:rPr>
                <w:rFonts w:hint="eastAsia" w:ascii="宋体" w:hAnsi="宋体" w:eastAsia="宋体" w:cs="宋体"/>
                <w:color w:val="auto"/>
                <w:sz w:val="24"/>
                <w:szCs w:val="24"/>
              </w:rPr>
            </w:pPr>
          </w:p>
        </w:tc>
        <w:tc>
          <w:tcPr>
            <w:tcW w:w="19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5E9415B">
            <w:pPr>
              <w:rPr>
                <w:rFonts w:hint="eastAsia" w:ascii="宋体" w:hAnsi="宋体" w:eastAsia="宋体" w:cs="宋体"/>
                <w:color w:val="auto"/>
                <w:sz w:val="24"/>
                <w:szCs w:val="24"/>
              </w:rPr>
            </w:pPr>
          </w:p>
        </w:tc>
        <w:tc>
          <w:tcPr>
            <w:tcW w:w="138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130A44">
            <w:pPr>
              <w:rPr>
                <w:rFonts w:hint="eastAsia" w:ascii="宋体" w:hAnsi="宋体" w:eastAsia="宋体" w:cs="宋体"/>
                <w:color w:val="auto"/>
                <w:sz w:val="24"/>
                <w:szCs w:val="24"/>
              </w:rPr>
            </w:pPr>
          </w:p>
        </w:tc>
      </w:tr>
    </w:tbl>
    <w:p w14:paraId="3FE5832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0F59EC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1、对节能、环境标志产品计算价格扣除时，只依据</w:t>
      </w:r>
      <w:r>
        <w:rPr>
          <w:rFonts w:hint="eastAsia" w:ascii="宋体" w:hAnsi="宋体" w:eastAsia="宋体" w:cs="宋体"/>
          <w:color w:val="auto"/>
          <w:lang w:eastAsia="zh-CN"/>
        </w:rPr>
        <w:t>投标文件</w:t>
      </w:r>
      <w:r>
        <w:rPr>
          <w:rFonts w:hint="eastAsia" w:ascii="宋体" w:hAnsi="宋体" w:eastAsia="宋体" w:cs="宋体"/>
          <w:color w:val="auto"/>
        </w:rPr>
        <w:t>“四-1-②优先类节能产品、环境标志产品加分证明材料（加分适用，若有）”。</w:t>
      </w:r>
    </w:p>
    <w:p w14:paraId="52EAF58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2、本表以采购包为单位，不同采购包请分别填写；同一采购包请按照其品目号顺序分别填写。</w:t>
      </w:r>
    </w:p>
    <w:p w14:paraId="4A6CC65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3、具体统计、计算：</w:t>
      </w:r>
    </w:p>
    <w:p w14:paraId="1A81F2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3.1若节能、环境标志产品仅是构成投标产品的部件、组件或零件，则该投标产品不享受鼓励优惠政策。同一品目中各认证证书不重复计算价格扣除。强制类节能产品不享受价格扣除。</w:t>
      </w:r>
    </w:p>
    <w:p w14:paraId="70E6929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3.2计算结果若除不尽，可四舍五入保留到小数点后两位。</w:t>
      </w:r>
    </w:p>
    <w:p w14:paraId="47CDF5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3.3投标人应按照招标文件要求认真统计、计算，否则评标委员会不予认定。</w:t>
      </w:r>
    </w:p>
    <w:p w14:paraId="60191BB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3.4若无节能、环境标志产品，不填写本表，否则，视为提供虚假材料。</w:t>
      </w:r>
    </w:p>
    <w:p w14:paraId="0C77FB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B7F964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9384FB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04AF16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 </w:t>
      </w:r>
    </w:p>
    <w:p w14:paraId="60E95A7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四-1-②优先类节能产品、环境标志产品证明材料（加分适用，若有）</w:t>
      </w:r>
    </w:p>
    <w:p w14:paraId="7207EA7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四-2招标文件规定的其他加分证明材料（若有）</w:t>
      </w:r>
    </w:p>
    <w:p w14:paraId="03D082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rPr>
      </w:pPr>
      <w:r>
        <w:rPr>
          <w:rFonts w:hint="eastAsia" w:ascii="宋体" w:hAnsi="宋体" w:eastAsia="宋体" w:cs="宋体"/>
          <w:color w:val="auto"/>
        </w:rPr>
        <w:t>编制说明</w:t>
      </w:r>
    </w:p>
    <w:p w14:paraId="003D227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若投标人可享受招标文件规定的除“优先类节能产品、环境标志产品加分”外的其他加分优惠，则投标人应按照招标文件要求提供相应证明材料。</w:t>
      </w:r>
    </w:p>
    <w:p w14:paraId="1CC8525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 </w:t>
      </w:r>
    </w:p>
    <w:p w14:paraId="74EEFA5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655E1E4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4EFBAAD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3C65477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5BD6322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492417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204AFFD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3D6C0DE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3BDAE65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封面格式(技术商务部分)</w:t>
      </w:r>
    </w:p>
    <w:p w14:paraId="1545F8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78"/>
          <w:szCs w:val="78"/>
        </w:rPr>
      </w:pPr>
      <w:r>
        <w:rPr>
          <w:rFonts w:hint="eastAsia" w:ascii="宋体" w:hAnsi="宋体" w:eastAsia="宋体" w:cs="宋体"/>
          <w:b/>
          <w:bCs/>
          <w:color w:val="auto"/>
          <w:sz w:val="78"/>
          <w:szCs w:val="78"/>
        </w:rPr>
        <w:t>福建省政府采购投标文件</w:t>
      </w:r>
    </w:p>
    <w:p w14:paraId="5BE57F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78"/>
          <w:szCs w:val="78"/>
        </w:rPr>
      </w:pPr>
      <w:r>
        <w:rPr>
          <w:rFonts w:hint="eastAsia" w:ascii="宋体" w:hAnsi="宋体" w:eastAsia="宋体" w:cs="宋体"/>
          <w:b/>
          <w:bCs/>
          <w:color w:val="auto"/>
          <w:sz w:val="78"/>
          <w:szCs w:val="78"/>
        </w:rPr>
        <w:t>（技术商务部分）</w:t>
      </w:r>
    </w:p>
    <w:p w14:paraId="5D277286">
      <w:pPr>
        <w:keepNext w:val="0"/>
        <w:keepLines w:val="0"/>
        <w:widowControl/>
        <w:suppressLineNumbers w:val="0"/>
        <w:spacing w:after="240" w:afterAutospacing="0"/>
        <w:jc w:val="left"/>
        <w:rPr>
          <w:color w:val="auto"/>
        </w:rPr>
      </w:pPr>
    </w:p>
    <w:p w14:paraId="67336FA6">
      <w:pPr>
        <w:keepNext w:val="0"/>
        <w:keepLines w:val="0"/>
        <w:widowControl/>
        <w:suppressLineNumbers w:val="0"/>
        <w:spacing w:after="240" w:afterAutospacing="0"/>
        <w:jc w:val="left"/>
        <w:rPr>
          <w:color w:val="auto"/>
        </w:rPr>
      </w:pPr>
    </w:p>
    <w:p w14:paraId="31AE08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9"/>
          <w:szCs w:val="39"/>
        </w:rPr>
      </w:pPr>
      <w:r>
        <w:rPr>
          <w:rFonts w:hint="eastAsia" w:ascii="宋体" w:hAnsi="宋体" w:eastAsia="宋体" w:cs="宋体"/>
          <w:b/>
          <w:bCs/>
          <w:color w:val="auto"/>
          <w:sz w:val="39"/>
          <w:szCs w:val="39"/>
        </w:rPr>
        <w:t>（填写正本或副本）</w:t>
      </w:r>
    </w:p>
    <w:p w14:paraId="6E61925B">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0B460700">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59A61620">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4C13E944">
      <w:pPr>
        <w:keepNext w:val="0"/>
        <w:keepLines w:val="0"/>
        <w:widowControl/>
        <w:suppressLineNumbers w:val="0"/>
        <w:spacing w:after="240" w:afterAutospacing="0"/>
        <w:jc w:val="left"/>
        <w:rPr>
          <w:rFonts w:ascii="宋体" w:hAnsi="宋体" w:eastAsia="宋体" w:cs="宋体"/>
          <w:color w:val="auto"/>
          <w:kern w:val="0"/>
          <w:sz w:val="24"/>
          <w:szCs w:val="24"/>
          <w:lang w:val="en-US" w:eastAsia="zh-CN" w:bidi="ar"/>
        </w:rPr>
      </w:pPr>
    </w:p>
    <w:p w14:paraId="7DBBA94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（项目名称：（由投标人填写）</w:t>
      </w:r>
    </w:p>
    <w:p w14:paraId="050817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（备案编号：（由投标人填写）</w:t>
      </w:r>
    </w:p>
    <w:p w14:paraId="6DF9608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（项目编号：（由投标人填写）</w:t>
      </w:r>
    </w:p>
    <w:p w14:paraId="45DCCCA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（所投采购包：（由投标人填写）</w:t>
      </w:r>
    </w:p>
    <w:p w14:paraId="64970191">
      <w:pPr>
        <w:keepNext w:val="0"/>
        <w:keepLines w:val="0"/>
        <w:widowControl/>
        <w:suppressLineNumbers w:val="0"/>
        <w:spacing w:after="240" w:afterAutospacing="0"/>
        <w:jc w:val="left"/>
        <w:rPr>
          <w:color w:val="auto"/>
        </w:rPr>
      </w:pPr>
    </w:p>
    <w:p w14:paraId="6408A10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投标人：（填写“全称”）</w:t>
      </w:r>
    </w:p>
    <w:p w14:paraId="2F9A12D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7"/>
          <w:szCs w:val="27"/>
        </w:rPr>
      </w:pPr>
      <w:r>
        <w:rPr>
          <w:rFonts w:hint="eastAsia" w:ascii="宋体" w:hAnsi="宋体" w:eastAsia="宋体" w:cs="宋体"/>
          <w:b/>
          <w:bCs/>
          <w:color w:val="auto"/>
          <w:sz w:val="27"/>
          <w:szCs w:val="27"/>
        </w:rPr>
        <w:t>（由投标人填写）年（由投标人填写）月</w:t>
      </w:r>
    </w:p>
    <w:p w14:paraId="330F58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 </w:t>
      </w:r>
    </w:p>
    <w:p w14:paraId="792DE5B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1F2F4E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5E0768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14623D2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22FE0A6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06C72AE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7C8D929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auto"/>
          <w:spacing w:val="0"/>
          <w:sz w:val="21"/>
          <w:szCs w:val="21"/>
          <w:shd w:val="clear" w:fill="FFFFFF"/>
        </w:rPr>
      </w:pPr>
    </w:p>
    <w:p w14:paraId="69F457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索引</w:t>
      </w:r>
    </w:p>
    <w:p w14:paraId="6F00451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一、标的说明一览表</w:t>
      </w:r>
    </w:p>
    <w:p w14:paraId="4B64B7B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二、技术和服务要求响应表</w:t>
      </w:r>
    </w:p>
    <w:p w14:paraId="59559DA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三、商务条件响应表</w:t>
      </w:r>
    </w:p>
    <w:p w14:paraId="3185F98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四、投标人提交的其他资料（若有）</w:t>
      </w:r>
    </w:p>
    <w:p w14:paraId="6925BE3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2AE9998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技术商务部分中不得出现报价部分的全部或部分的投标报价信息（或组成资料），否则符合性审查不合格。</w:t>
      </w:r>
    </w:p>
    <w:p w14:paraId="11E1BDF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 </w:t>
      </w:r>
    </w:p>
    <w:p w14:paraId="4E53B4F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一、标的说明一览表</w:t>
      </w:r>
    </w:p>
    <w:p w14:paraId="60F37F3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18"/>
        <w:tblW w:w="9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82"/>
        <w:gridCol w:w="1682"/>
        <w:gridCol w:w="2104"/>
        <w:gridCol w:w="1260"/>
        <w:gridCol w:w="1682"/>
        <w:gridCol w:w="1260"/>
      </w:tblGrid>
      <w:tr w14:paraId="2C87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5C2CA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采购包</w:t>
            </w: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654EE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品目号</w:t>
            </w:r>
          </w:p>
        </w:tc>
        <w:tc>
          <w:tcPr>
            <w:tcW w:w="210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6F94E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投标标的</w:t>
            </w: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EFA2B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规格</w:t>
            </w: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33FDE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来源地</w:t>
            </w: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57947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备注</w:t>
            </w:r>
          </w:p>
        </w:tc>
      </w:tr>
      <w:tr w14:paraId="650E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82" w:type="dxa"/>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0F4D4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6A5A3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*-1</w:t>
            </w:r>
          </w:p>
        </w:tc>
        <w:tc>
          <w:tcPr>
            <w:tcW w:w="210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4A964A">
            <w:pPr>
              <w:rPr>
                <w:rFonts w:hint="eastAsia" w:ascii="宋体" w:hAnsi="宋体" w:eastAsia="宋体" w:cs="宋体"/>
                <w:color w:val="auto"/>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458263">
            <w:pPr>
              <w:rPr>
                <w:rFonts w:hint="eastAsia" w:ascii="宋体" w:hAnsi="宋体" w:eastAsia="宋体" w:cs="宋体"/>
                <w:color w:val="auto"/>
                <w:sz w:val="24"/>
                <w:szCs w:val="24"/>
              </w:rPr>
            </w:pP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11CBAE">
            <w:pPr>
              <w:rPr>
                <w:rFonts w:hint="eastAsia" w:ascii="宋体" w:hAnsi="宋体" w:eastAsia="宋体" w:cs="宋体"/>
                <w:color w:val="auto"/>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DE99D3">
            <w:pPr>
              <w:rPr>
                <w:rFonts w:hint="eastAsia" w:ascii="宋体" w:hAnsi="宋体" w:eastAsia="宋体" w:cs="宋体"/>
                <w:color w:val="auto"/>
                <w:sz w:val="24"/>
                <w:szCs w:val="24"/>
              </w:rPr>
            </w:pPr>
          </w:p>
        </w:tc>
      </w:tr>
      <w:tr w14:paraId="0A33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82" w:type="dxa"/>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6B994A">
            <w:pPr>
              <w:rPr>
                <w:rFonts w:hint="eastAsia" w:ascii="宋体" w:hAnsi="宋体" w:eastAsia="宋体" w:cs="宋体"/>
                <w:color w:val="auto"/>
                <w:sz w:val="24"/>
                <w:szCs w:val="24"/>
              </w:rPr>
            </w:pP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E6075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210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867FB4">
            <w:pPr>
              <w:rPr>
                <w:rFonts w:hint="eastAsia" w:ascii="宋体" w:hAnsi="宋体" w:eastAsia="宋体" w:cs="宋体"/>
                <w:color w:val="auto"/>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E70265">
            <w:pPr>
              <w:rPr>
                <w:rFonts w:hint="eastAsia" w:ascii="宋体" w:hAnsi="宋体" w:eastAsia="宋体" w:cs="宋体"/>
                <w:color w:val="auto"/>
                <w:sz w:val="24"/>
                <w:szCs w:val="24"/>
              </w:rPr>
            </w:pP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DFE5FC">
            <w:pPr>
              <w:rPr>
                <w:rFonts w:hint="eastAsia" w:ascii="宋体" w:hAnsi="宋体" w:eastAsia="宋体" w:cs="宋体"/>
                <w:color w:val="auto"/>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DAD5C2">
            <w:pPr>
              <w:rPr>
                <w:rFonts w:hint="eastAsia" w:ascii="宋体" w:hAnsi="宋体" w:eastAsia="宋体" w:cs="宋体"/>
                <w:color w:val="auto"/>
                <w:sz w:val="24"/>
                <w:szCs w:val="24"/>
              </w:rPr>
            </w:pPr>
          </w:p>
        </w:tc>
      </w:tr>
      <w:tr w14:paraId="6EBB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D955B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49E81A">
            <w:pPr>
              <w:rPr>
                <w:rFonts w:hint="eastAsia" w:ascii="宋体" w:hAnsi="宋体" w:eastAsia="宋体" w:cs="宋体"/>
                <w:color w:val="auto"/>
                <w:sz w:val="24"/>
                <w:szCs w:val="24"/>
              </w:rPr>
            </w:pPr>
          </w:p>
        </w:tc>
        <w:tc>
          <w:tcPr>
            <w:tcW w:w="210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8CEB70">
            <w:pPr>
              <w:rPr>
                <w:rFonts w:hint="eastAsia" w:ascii="宋体" w:hAnsi="宋体" w:eastAsia="宋体" w:cs="宋体"/>
                <w:color w:val="auto"/>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259ECC">
            <w:pPr>
              <w:rPr>
                <w:rFonts w:hint="eastAsia" w:ascii="宋体" w:hAnsi="宋体" w:eastAsia="宋体" w:cs="宋体"/>
                <w:color w:val="auto"/>
                <w:sz w:val="24"/>
                <w:szCs w:val="24"/>
              </w:rPr>
            </w:pPr>
          </w:p>
        </w:tc>
        <w:tc>
          <w:tcPr>
            <w:tcW w:w="16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053C51">
            <w:pPr>
              <w:rPr>
                <w:rFonts w:hint="eastAsia" w:ascii="宋体" w:hAnsi="宋体" w:eastAsia="宋体" w:cs="宋体"/>
                <w:color w:val="auto"/>
                <w:sz w:val="24"/>
                <w:szCs w:val="24"/>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224369">
            <w:pPr>
              <w:rPr>
                <w:rFonts w:hint="eastAsia" w:ascii="宋体" w:hAnsi="宋体" w:eastAsia="宋体" w:cs="宋体"/>
                <w:color w:val="auto"/>
                <w:sz w:val="24"/>
                <w:szCs w:val="24"/>
              </w:rPr>
            </w:pPr>
          </w:p>
        </w:tc>
      </w:tr>
    </w:tbl>
    <w:p w14:paraId="5DE4C5A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58ABD6E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1、本表应按照下列规定填写：</w:t>
      </w:r>
    </w:p>
    <w:p w14:paraId="21930E9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1.1“采购包”、“品目号”、“投标标的”应与招标文件《采购标的一览表》中的有关内容（“采购包”、“品目号”、“采购标的”）保持一致。</w:t>
      </w:r>
    </w:p>
    <w:p w14:paraId="407DB5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原产地，专用工具（若有）的名称、原产地，备品备件（若有）的名称、原产地等。</w:t>
      </w:r>
    </w:p>
    <w:p w14:paraId="2CA541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1.3“投标标的”为服务的：“规格”项下应填写服务提供者提供的服务标准及品牌（若有）。“来源地”应填写服务提供者的所在地。“备注”项下应填写关于服务标准所涵盖的具体项目或内容的说明等。</w:t>
      </w:r>
    </w:p>
    <w:p w14:paraId="5557987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640845F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3、投标文件中涉及“投标标的”、“规格”、“来源地”的内容若不一致，应以本表为准。</w:t>
      </w:r>
    </w:p>
    <w:p w14:paraId="4DB8A6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9FE50B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r>
        <w:rPr>
          <w:rFonts w:hint="eastAsia" w:ascii="宋体" w:hAnsi="宋体" w:eastAsia="宋体" w:cs="宋体"/>
          <w:i w:val="0"/>
          <w:iCs w:val="0"/>
          <w:caps w:val="0"/>
          <w:color w:val="auto"/>
          <w:spacing w:val="0"/>
          <w:sz w:val="21"/>
          <w:szCs w:val="21"/>
          <w:shd w:val="clear" w:fill="FFFFFF"/>
        </w:rPr>
        <w:t> </w:t>
      </w:r>
    </w:p>
    <w:p w14:paraId="2B43D4D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二、技术和服务要求响应表</w:t>
      </w:r>
    </w:p>
    <w:p w14:paraId="26B12DC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18"/>
        <w:tblW w:w="9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33"/>
        <w:gridCol w:w="1333"/>
        <w:gridCol w:w="2669"/>
        <w:gridCol w:w="1666"/>
        <w:gridCol w:w="2669"/>
      </w:tblGrid>
      <w:tr w14:paraId="1FDF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8F5BD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采购包</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0AC0C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品目号</w:t>
            </w:r>
          </w:p>
        </w:tc>
        <w:tc>
          <w:tcPr>
            <w:tcW w:w="26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169EE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技术和服务要求</w:t>
            </w:r>
          </w:p>
        </w:tc>
        <w:tc>
          <w:tcPr>
            <w:tcW w:w="16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F3B71D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投标响应</w:t>
            </w:r>
          </w:p>
        </w:tc>
        <w:tc>
          <w:tcPr>
            <w:tcW w:w="26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8C32F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是否偏离及说明</w:t>
            </w:r>
          </w:p>
        </w:tc>
      </w:tr>
      <w:tr w14:paraId="3943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33" w:type="dxa"/>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C1A46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12564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*-1</w:t>
            </w:r>
          </w:p>
        </w:tc>
        <w:tc>
          <w:tcPr>
            <w:tcW w:w="26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A16B44">
            <w:pPr>
              <w:rPr>
                <w:rFonts w:hint="eastAsia" w:ascii="宋体" w:hAnsi="宋体" w:eastAsia="宋体" w:cs="宋体"/>
                <w:color w:val="auto"/>
                <w:sz w:val="24"/>
                <w:szCs w:val="24"/>
              </w:rPr>
            </w:pPr>
          </w:p>
        </w:tc>
        <w:tc>
          <w:tcPr>
            <w:tcW w:w="16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F0C6A0">
            <w:pPr>
              <w:rPr>
                <w:rFonts w:hint="eastAsia" w:ascii="宋体" w:hAnsi="宋体" w:eastAsia="宋体" w:cs="宋体"/>
                <w:color w:val="auto"/>
                <w:sz w:val="24"/>
                <w:szCs w:val="24"/>
              </w:rPr>
            </w:pPr>
          </w:p>
        </w:tc>
        <w:tc>
          <w:tcPr>
            <w:tcW w:w="26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DDD7D4">
            <w:pPr>
              <w:rPr>
                <w:rFonts w:hint="eastAsia" w:ascii="宋体" w:hAnsi="宋体" w:eastAsia="宋体" w:cs="宋体"/>
                <w:color w:val="auto"/>
                <w:sz w:val="24"/>
                <w:szCs w:val="24"/>
              </w:rPr>
            </w:pPr>
          </w:p>
        </w:tc>
      </w:tr>
      <w:tr w14:paraId="6F3D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3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C724F1">
            <w:pPr>
              <w:rPr>
                <w:rFonts w:hint="eastAsia" w:ascii="宋体" w:hAnsi="宋体" w:eastAsia="宋体" w:cs="宋体"/>
                <w:color w:val="auto"/>
                <w:sz w:val="24"/>
                <w:szCs w:val="24"/>
              </w:rPr>
            </w:pP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181F9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26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1FB295">
            <w:pPr>
              <w:rPr>
                <w:rFonts w:hint="eastAsia" w:ascii="宋体" w:hAnsi="宋体" w:eastAsia="宋体" w:cs="宋体"/>
                <w:color w:val="auto"/>
                <w:sz w:val="24"/>
                <w:szCs w:val="24"/>
              </w:rPr>
            </w:pPr>
          </w:p>
        </w:tc>
        <w:tc>
          <w:tcPr>
            <w:tcW w:w="16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28243B">
            <w:pPr>
              <w:rPr>
                <w:rFonts w:hint="eastAsia" w:ascii="宋体" w:hAnsi="宋体" w:eastAsia="宋体" w:cs="宋体"/>
                <w:color w:val="auto"/>
                <w:sz w:val="24"/>
                <w:szCs w:val="24"/>
              </w:rPr>
            </w:pPr>
          </w:p>
        </w:tc>
        <w:tc>
          <w:tcPr>
            <w:tcW w:w="26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5E2D55">
            <w:pPr>
              <w:rPr>
                <w:rFonts w:hint="eastAsia" w:ascii="宋体" w:hAnsi="宋体" w:eastAsia="宋体" w:cs="宋体"/>
                <w:color w:val="auto"/>
                <w:sz w:val="24"/>
                <w:szCs w:val="24"/>
              </w:rPr>
            </w:pPr>
          </w:p>
        </w:tc>
      </w:tr>
      <w:tr w14:paraId="0BE8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9581B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133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0A2ECE">
            <w:pPr>
              <w:rPr>
                <w:rFonts w:hint="eastAsia" w:ascii="宋体" w:hAnsi="宋体" w:eastAsia="宋体" w:cs="宋体"/>
                <w:color w:val="auto"/>
                <w:sz w:val="24"/>
                <w:szCs w:val="24"/>
              </w:rPr>
            </w:pPr>
          </w:p>
        </w:tc>
        <w:tc>
          <w:tcPr>
            <w:tcW w:w="26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45F38D">
            <w:pPr>
              <w:rPr>
                <w:rFonts w:hint="eastAsia" w:ascii="宋体" w:hAnsi="宋体" w:eastAsia="宋体" w:cs="宋体"/>
                <w:color w:val="auto"/>
                <w:sz w:val="24"/>
                <w:szCs w:val="24"/>
              </w:rPr>
            </w:pPr>
          </w:p>
        </w:tc>
        <w:tc>
          <w:tcPr>
            <w:tcW w:w="16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05A865">
            <w:pPr>
              <w:rPr>
                <w:rFonts w:hint="eastAsia" w:ascii="宋体" w:hAnsi="宋体" w:eastAsia="宋体" w:cs="宋体"/>
                <w:color w:val="auto"/>
                <w:sz w:val="24"/>
                <w:szCs w:val="24"/>
              </w:rPr>
            </w:pPr>
          </w:p>
        </w:tc>
        <w:tc>
          <w:tcPr>
            <w:tcW w:w="266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FB2519">
            <w:pPr>
              <w:rPr>
                <w:rFonts w:hint="eastAsia" w:ascii="宋体" w:hAnsi="宋体" w:eastAsia="宋体" w:cs="宋体"/>
                <w:color w:val="auto"/>
                <w:sz w:val="24"/>
                <w:szCs w:val="24"/>
              </w:rPr>
            </w:pPr>
          </w:p>
        </w:tc>
      </w:tr>
    </w:tbl>
    <w:p w14:paraId="4355A8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404384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1、本表应按照下列规定填写：</w:t>
      </w:r>
    </w:p>
    <w:p w14:paraId="349C93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1.1“技术和服务要求”项下填写的内容应与招标文件第五章“技术和服务要求”的内容保持一致。</w:t>
      </w:r>
    </w:p>
    <w:p w14:paraId="3AC0C4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A3678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6F3EAB2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atLeast"/>
        <w:ind w:left="0" w:right="0" w:firstLine="420"/>
        <w:textAlignment w:val="auto"/>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7F7AE0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467187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0566C2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0EED94F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7F357B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shd w:val="clear" w:fill="FFFFFF"/>
        </w:rPr>
      </w:pPr>
    </w:p>
    <w:p w14:paraId="479EE4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三、商务条件响应表</w:t>
      </w:r>
    </w:p>
    <w:p w14:paraId="2265E10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18"/>
        <w:tblW w:w="9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88"/>
        <w:gridCol w:w="1488"/>
        <w:gridCol w:w="1859"/>
        <w:gridCol w:w="1859"/>
        <w:gridCol w:w="2976"/>
      </w:tblGrid>
      <w:tr w14:paraId="5886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8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EC690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采购包</w:t>
            </w:r>
          </w:p>
        </w:tc>
        <w:tc>
          <w:tcPr>
            <w:tcW w:w="148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971B3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品目号</w:t>
            </w:r>
          </w:p>
        </w:tc>
        <w:tc>
          <w:tcPr>
            <w:tcW w:w="185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3CFBE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商务条件</w:t>
            </w:r>
          </w:p>
        </w:tc>
        <w:tc>
          <w:tcPr>
            <w:tcW w:w="185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A9D5F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投标响应</w:t>
            </w: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0CA6F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是否偏离及说明</w:t>
            </w:r>
          </w:p>
        </w:tc>
      </w:tr>
      <w:tr w14:paraId="1B218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88" w:type="dxa"/>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84271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148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F0B20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*-1</w:t>
            </w:r>
          </w:p>
        </w:tc>
        <w:tc>
          <w:tcPr>
            <w:tcW w:w="185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BC287D">
            <w:pPr>
              <w:rPr>
                <w:rFonts w:hint="eastAsia" w:ascii="宋体" w:hAnsi="宋体" w:eastAsia="宋体" w:cs="宋体"/>
                <w:color w:val="auto"/>
                <w:sz w:val="24"/>
                <w:szCs w:val="24"/>
              </w:rPr>
            </w:pPr>
          </w:p>
        </w:tc>
        <w:tc>
          <w:tcPr>
            <w:tcW w:w="185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7AD77B">
            <w:pPr>
              <w:rPr>
                <w:rFonts w:hint="eastAsia" w:ascii="宋体" w:hAnsi="宋体" w:eastAsia="宋体" w:cs="宋体"/>
                <w:color w:val="auto"/>
                <w:sz w:val="24"/>
                <w:szCs w:val="24"/>
              </w:rPr>
            </w:pP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1E8897">
            <w:pPr>
              <w:rPr>
                <w:rFonts w:hint="eastAsia" w:ascii="宋体" w:hAnsi="宋体" w:eastAsia="宋体" w:cs="宋体"/>
                <w:color w:val="auto"/>
                <w:sz w:val="24"/>
                <w:szCs w:val="24"/>
              </w:rPr>
            </w:pPr>
          </w:p>
        </w:tc>
      </w:tr>
      <w:tr w14:paraId="623C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88" w:type="dxa"/>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F64888">
            <w:pPr>
              <w:rPr>
                <w:rFonts w:hint="eastAsia" w:ascii="宋体" w:hAnsi="宋体" w:eastAsia="宋体" w:cs="宋体"/>
                <w:color w:val="auto"/>
                <w:sz w:val="24"/>
                <w:szCs w:val="24"/>
              </w:rPr>
            </w:pPr>
          </w:p>
        </w:tc>
        <w:tc>
          <w:tcPr>
            <w:tcW w:w="148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4D55A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185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1D97E9">
            <w:pPr>
              <w:rPr>
                <w:rFonts w:hint="eastAsia" w:ascii="宋体" w:hAnsi="宋体" w:eastAsia="宋体" w:cs="宋体"/>
                <w:color w:val="auto"/>
                <w:sz w:val="24"/>
                <w:szCs w:val="24"/>
              </w:rPr>
            </w:pPr>
          </w:p>
        </w:tc>
        <w:tc>
          <w:tcPr>
            <w:tcW w:w="185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92C413">
            <w:pPr>
              <w:rPr>
                <w:rFonts w:hint="eastAsia" w:ascii="宋体" w:hAnsi="宋体" w:eastAsia="宋体" w:cs="宋体"/>
                <w:color w:val="auto"/>
                <w:sz w:val="24"/>
                <w:szCs w:val="24"/>
              </w:rPr>
            </w:pP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DA4F5D">
            <w:pPr>
              <w:rPr>
                <w:rFonts w:hint="eastAsia" w:ascii="宋体" w:hAnsi="宋体" w:eastAsia="宋体" w:cs="宋体"/>
                <w:color w:val="auto"/>
                <w:sz w:val="24"/>
                <w:szCs w:val="24"/>
              </w:rPr>
            </w:pPr>
          </w:p>
        </w:tc>
      </w:tr>
      <w:tr w14:paraId="344F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8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332D0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rPr>
            </w:pPr>
            <w:r>
              <w:rPr>
                <w:rFonts w:hint="eastAsia" w:ascii="宋体" w:hAnsi="宋体" w:eastAsia="宋体" w:cs="宋体"/>
                <w:color w:val="auto"/>
              </w:rPr>
              <w:t>…</w:t>
            </w:r>
          </w:p>
        </w:tc>
        <w:tc>
          <w:tcPr>
            <w:tcW w:w="148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3B2DA3">
            <w:pPr>
              <w:rPr>
                <w:rFonts w:hint="eastAsia" w:ascii="宋体" w:hAnsi="宋体" w:eastAsia="宋体" w:cs="宋体"/>
                <w:color w:val="auto"/>
                <w:sz w:val="24"/>
                <w:szCs w:val="24"/>
              </w:rPr>
            </w:pPr>
          </w:p>
        </w:tc>
        <w:tc>
          <w:tcPr>
            <w:tcW w:w="185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78B1A3">
            <w:pPr>
              <w:rPr>
                <w:rFonts w:hint="eastAsia" w:ascii="宋体" w:hAnsi="宋体" w:eastAsia="宋体" w:cs="宋体"/>
                <w:color w:val="auto"/>
                <w:sz w:val="24"/>
                <w:szCs w:val="24"/>
              </w:rPr>
            </w:pPr>
          </w:p>
        </w:tc>
        <w:tc>
          <w:tcPr>
            <w:tcW w:w="185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EE51D0">
            <w:pPr>
              <w:rPr>
                <w:rFonts w:hint="eastAsia" w:ascii="宋体" w:hAnsi="宋体" w:eastAsia="宋体" w:cs="宋体"/>
                <w:color w:val="auto"/>
                <w:sz w:val="24"/>
                <w:szCs w:val="24"/>
              </w:rPr>
            </w:pPr>
          </w:p>
        </w:tc>
        <w:tc>
          <w:tcPr>
            <w:tcW w:w="297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CD6FDF">
            <w:pPr>
              <w:rPr>
                <w:rFonts w:hint="eastAsia" w:ascii="宋体" w:hAnsi="宋体" w:eastAsia="宋体" w:cs="宋体"/>
                <w:color w:val="auto"/>
                <w:sz w:val="24"/>
                <w:szCs w:val="24"/>
              </w:rPr>
            </w:pPr>
          </w:p>
        </w:tc>
      </w:tr>
    </w:tbl>
    <w:p w14:paraId="7BD867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※注意：</w:t>
      </w:r>
    </w:p>
    <w:p w14:paraId="6600ACE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1、本表应按照下列规定填写：</w:t>
      </w:r>
    </w:p>
    <w:p w14:paraId="08FA4CF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1.1“商务条件”项下填写的内容应与招标文件第五章“商务条件”的内容保持一致。</w:t>
      </w:r>
    </w:p>
    <w:p w14:paraId="5B069F8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1.2“投标响应”项下应填写具体的响应内容并与“商务条件”项下填写的内容逐项对应；对“商务条件”项下涉及“≥或＞”、“≤或＜”及某个区间值范围内的内容，应填写具体的数值。</w:t>
      </w:r>
    </w:p>
    <w:p w14:paraId="25CD5CA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2913F4A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1E20DB7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C30A48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7EB56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i w:val="0"/>
          <w:iCs w:val="0"/>
          <w:caps w:val="0"/>
          <w:color w:val="auto"/>
          <w:spacing w:val="0"/>
          <w:sz w:val="21"/>
          <w:szCs w:val="21"/>
          <w:shd w:val="clear" w:fill="FFFFFF"/>
        </w:rPr>
        <w:t> </w:t>
      </w:r>
    </w:p>
    <w:p w14:paraId="6A32F5F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四、投标人提交的其他资料（若有）</w:t>
      </w:r>
    </w:p>
    <w:p w14:paraId="7BF734B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color w:val="auto"/>
        </w:rPr>
      </w:pPr>
      <w:r>
        <w:rPr>
          <w:rFonts w:hint="eastAsia" w:ascii="宋体" w:hAnsi="宋体" w:eastAsia="宋体" w:cs="宋体"/>
          <w:color w:val="auto"/>
        </w:rPr>
        <w:t>编制说明</w:t>
      </w:r>
    </w:p>
    <w:p w14:paraId="2C8266E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1、招标文件要求提交的除“资格及资信证明部分”、“报价部分”外的其他证明材料或资料加盖投标人的单位公章后应在此项下提交。</w:t>
      </w:r>
    </w:p>
    <w:p w14:paraId="4109A3E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2、招标文件要求投标人提供方案（包括但不限于：组织、实施、技术、服务方案等）的，投标人应在此项下提交。</w:t>
      </w:r>
    </w:p>
    <w:p w14:paraId="32DF3DC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color w:val="auto"/>
        </w:rPr>
      </w:pPr>
      <w:r>
        <w:rPr>
          <w:rFonts w:hint="eastAsia" w:ascii="宋体" w:hAnsi="宋体" w:eastAsia="宋体" w:cs="宋体"/>
          <w:color w:val="auto"/>
        </w:rPr>
        <w:t>3、除招标文件另有规定外，投标人认为需要提交的其他证明材料或资料加盖投标人的单位公章后应在此项下提交。</w:t>
      </w:r>
    </w:p>
    <w:p w14:paraId="3208E1BB">
      <w:pPr>
        <w:rPr>
          <w:color w:val="auto"/>
        </w:rPr>
      </w:pPr>
    </w:p>
    <w:sectPr>
      <w:footerReference r:id="rId3" w:type="default"/>
      <w:pgSz w:w="11906" w:h="16838"/>
      <w:pgMar w:top="1134" w:right="1236" w:bottom="1134" w:left="123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D02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7CD2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77CD2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E3A86"/>
    <w:multiLevelType w:val="singleLevel"/>
    <w:tmpl w:val="B2AE3A86"/>
    <w:lvl w:ilvl="0" w:tentative="0">
      <w:start w:val="2"/>
      <w:numFmt w:val="chineseCounting"/>
      <w:suff w:val="nothing"/>
      <w:lvlText w:val="（%1）"/>
      <w:lvlJc w:val="left"/>
      <w:rPr>
        <w:rFonts w:hint="eastAsia"/>
      </w:rPr>
    </w:lvl>
  </w:abstractNum>
  <w:abstractNum w:abstractNumId="1">
    <w:nsid w:val="CFF5D9F3"/>
    <w:multiLevelType w:val="singleLevel"/>
    <w:tmpl w:val="CFF5D9F3"/>
    <w:lvl w:ilvl="0" w:tentative="0">
      <w:start w:val="1"/>
      <w:numFmt w:val="decimal"/>
      <w:suff w:val="nothing"/>
      <w:lvlText w:val="%1、"/>
      <w:lvlJc w:val="left"/>
      <w:pPr>
        <w:ind w:left="110" w:leftChars="0" w:firstLine="0" w:firstLineChars="0"/>
      </w:pPr>
    </w:lvl>
  </w:abstractNum>
  <w:abstractNum w:abstractNumId="2">
    <w:nsid w:val="22C6E681"/>
    <w:multiLevelType w:val="singleLevel"/>
    <w:tmpl w:val="22C6E681"/>
    <w:lvl w:ilvl="0" w:tentative="0">
      <w:start w:val="1"/>
      <w:numFmt w:val="decimal"/>
      <w:lvlText w:val="(%1)"/>
      <w:lvlJc w:val="left"/>
      <w:pPr>
        <w:tabs>
          <w:tab w:val="left" w:pos="312"/>
        </w:tabs>
      </w:pPr>
    </w:lvl>
  </w:abstractNum>
  <w:abstractNum w:abstractNumId="3">
    <w:nsid w:val="3569ED86"/>
    <w:multiLevelType w:val="singleLevel"/>
    <w:tmpl w:val="3569ED86"/>
    <w:lvl w:ilvl="0" w:tentative="0">
      <w:start w:val="4"/>
      <w:numFmt w:val="decimal"/>
      <w:suff w:val="nothing"/>
      <w:lvlText w:val="%1、"/>
      <w:lvlJc w:val="left"/>
    </w:lvl>
  </w:abstractNum>
  <w:abstractNum w:abstractNumId="4">
    <w:nsid w:val="4E66B74F"/>
    <w:multiLevelType w:val="singleLevel"/>
    <w:tmpl w:val="4E66B74F"/>
    <w:lvl w:ilvl="0" w:tentative="0">
      <w:start w:val="7"/>
      <w:numFmt w:val="decimal"/>
      <w:suff w:val="nothing"/>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TBkMDkzZjA5YWRkNTVlMDMxN2I4M2M3ZTI1YjMifQ=="/>
  </w:docVars>
  <w:rsids>
    <w:rsidRoot w:val="39242027"/>
    <w:rsid w:val="00083E7D"/>
    <w:rsid w:val="00285085"/>
    <w:rsid w:val="00422D33"/>
    <w:rsid w:val="00744C60"/>
    <w:rsid w:val="007E61AF"/>
    <w:rsid w:val="00901CB1"/>
    <w:rsid w:val="009E0CD9"/>
    <w:rsid w:val="00A16BE5"/>
    <w:rsid w:val="00A91912"/>
    <w:rsid w:val="00B77474"/>
    <w:rsid w:val="00C85F20"/>
    <w:rsid w:val="00F71C54"/>
    <w:rsid w:val="01883901"/>
    <w:rsid w:val="018A1427"/>
    <w:rsid w:val="019C0148"/>
    <w:rsid w:val="01C506B1"/>
    <w:rsid w:val="01E3068F"/>
    <w:rsid w:val="01FC5C15"/>
    <w:rsid w:val="020C4532"/>
    <w:rsid w:val="02403A1F"/>
    <w:rsid w:val="025A529E"/>
    <w:rsid w:val="02A93B2F"/>
    <w:rsid w:val="02AB5AF9"/>
    <w:rsid w:val="02AD1871"/>
    <w:rsid w:val="02AF383B"/>
    <w:rsid w:val="02ED6112"/>
    <w:rsid w:val="02F504C8"/>
    <w:rsid w:val="03031065"/>
    <w:rsid w:val="03367AB9"/>
    <w:rsid w:val="033E17C1"/>
    <w:rsid w:val="034005F0"/>
    <w:rsid w:val="03435D32"/>
    <w:rsid w:val="034A70C0"/>
    <w:rsid w:val="034C72DC"/>
    <w:rsid w:val="038971DB"/>
    <w:rsid w:val="03995E6B"/>
    <w:rsid w:val="03A54AB4"/>
    <w:rsid w:val="03AA4003"/>
    <w:rsid w:val="041476CE"/>
    <w:rsid w:val="045C5AD1"/>
    <w:rsid w:val="045D4ED5"/>
    <w:rsid w:val="04814D63"/>
    <w:rsid w:val="0495080F"/>
    <w:rsid w:val="049A7BD3"/>
    <w:rsid w:val="04BD7D66"/>
    <w:rsid w:val="04D5663A"/>
    <w:rsid w:val="04E27D09"/>
    <w:rsid w:val="05090A00"/>
    <w:rsid w:val="051756C8"/>
    <w:rsid w:val="052E47BF"/>
    <w:rsid w:val="053022E6"/>
    <w:rsid w:val="05485881"/>
    <w:rsid w:val="054D10EA"/>
    <w:rsid w:val="05736788"/>
    <w:rsid w:val="05776166"/>
    <w:rsid w:val="05B60A3D"/>
    <w:rsid w:val="05DD06BF"/>
    <w:rsid w:val="061834A6"/>
    <w:rsid w:val="061E65E2"/>
    <w:rsid w:val="0623404D"/>
    <w:rsid w:val="06355164"/>
    <w:rsid w:val="063B53E6"/>
    <w:rsid w:val="066950EE"/>
    <w:rsid w:val="06826B71"/>
    <w:rsid w:val="06D954AE"/>
    <w:rsid w:val="06F513F1"/>
    <w:rsid w:val="07061550"/>
    <w:rsid w:val="07177C01"/>
    <w:rsid w:val="07322276"/>
    <w:rsid w:val="07391925"/>
    <w:rsid w:val="074455BF"/>
    <w:rsid w:val="075229E7"/>
    <w:rsid w:val="0754675F"/>
    <w:rsid w:val="07963C26"/>
    <w:rsid w:val="07D17DB0"/>
    <w:rsid w:val="07E37AE3"/>
    <w:rsid w:val="07EC4BEA"/>
    <w:rsid w:val="07FE2B6F"/>
    <w:rsid w:val="080C6B05"/>
    <w:rsid w:val="084B37E9"/>
    <w:rsid w:val="08566507"/>
    <w:rsid w:val="08B33959"/>
    <w:rsid w:val="08BA515F"/>
    <w:rsid w:val="08D51B22"/>
    <w:rsid w:val="08DE14CB"/>
    <w:rsid w:val="08E104C7"/>
    <w:rsid w:val="09376339"/>
    <w:rsid w:val="093D1475"/>
    <w:rsid w:val="09554A11"/>
    <w:rsid w:val="096C7C18"/>
    <w:rsid w:val="097759A5"/>
    <w:rsid w:val="09AE41F5"/>
    <w:rsid w:val="09CA0F5B"/>
    <w:rsid w:val="09D12F9E"/>
    <w:rsid w:val="09FB0AA5"/>
    <w:rsid w:val="0A3208AE"/>
    <w:rsid w:val="0A474359"/>
    <w:rsid w:val="0A481E7F"/>
    <w:rsid w:val="0A4B01C2"/>
    <w:rsid w:val="0A5B09BD"/>
    <w:rsid w:val="0A6A01C3"/>
    <w:rsid w:val="0A714528"/>
    <w:rsid w:val="0A7C1AE0"/>
    <w:rsid w:val="0A7E6B2C"/>
    <w:rsid w:val="0A894972"/>
    <w:rsid w:val="0A9300D7"/>
    <w:rsid w:val="0ABC5F7B"/>
    <w:rsid w:val="0ADB0F46"/>
    <w:rsid w:val="0AFF1300"/>
    <w:rsid w:val="0B3C692C"/>
    <w:rsid w:val="0B432D0B"/>
    <w:rsid w:val="0B6416BB"/>
    <w:rsid w:val="0B6C1A9A"/>
    <w:rsid w:val="0B8615FF"/>
    <w:rsid w:val="0B9319D4"/>
    <w:rsid w:val="0BA011B9"/>
    <w:rsid w:val="0BA10A72"/>
    <w:rsid w:val="0BB377CC"/>
    <w:rsid w:val="0C13426D"/>
    <w:rsid w:val="0C1D3F72"/>
    <w:rsid w:val="0C2F779B"/>
    <w:rsid w:val="0C3A18B9"/>
    <w:rsid w:val="0C58054F"/>
    <w:rsid w:val="0C8E44C1"/>
    <w:rsid w:val="0C9475FE"/>
    <w:rsid w:val="0CB16402"/>
    <w:rsid w:val="0CD840F3"/>
    <w:rsid w:val="0D072CD9"/>
    <w:rsid w:val="0D097FEC"/>
    <w:rsid w:val="0D0E5602"/>
    <w:rsid w:val="0D977341"/>
    <w:rsid w:val="0DA25D4B"/>
    <w:rsid w:val="0DA6296B"/>
    <w:rsid w:val="0DCB0BDA"/>
    <w:rsid w:val="0E2E2FB3"/>
    <w:rsid w:val="0E525CBF"/>
    <w:rsid w:val="0E574D87"/>
    <w:rsid w:val="0E867F7F"/>
    <w:rsid w:val="0E9E6512"/>
    <w:rsid w:val="0EA476EC"/>
    <w:rsid w:val="0EAA780F"/>
    <w:rsid w:val="0ECC307F"/>
    <w:rsid w:val="0F014F1E"/>
    <w:rsid w:val="0F0F299A"/>
    <w:rsid w:val="0F184516"/>
    <w:rsid w:val="0F1C2263"/>
    <w:rsid w:val="0F241A5B"/>
    <w:rsid w:val="0F29227F"/>
    <w:rsid w:val="0F3B0862"/>
    <w:rsid w:val="0F4C0664"/>
    <w:rsid w:val="0F4D5F46"/>
    <w:rsid w:val="0F516C13"/>
    <w:rsid w:val="0F5372FC"/>
    <w:rsid w:val="0F6B6D3C"/>
    <w:rsid w:val="0F752E58"/>
    <w:rsid w:val="0F7B36CA"/>
    <w:rsid w:val="0F891448"/>
    <w:rsid w:val="0F9B0CA3"/>
    <w:rsid w:val="0FD04DF1"/>
    <w:rsid w:val="0FD3668F"/>
    <w:rsid w:val="10000CCA"/>
    <w:rsid w:val="10017BFB"/>
    <w:rsid w:val="10196798"/>
    <w:rsid w:val="103A670E"/>
    <w:rsid w:val="10563548"/>
    <w:rsid w:val="10725EA8"/>
    <w:rsid w:val="108C1D5B"/>
    <w:rsid w:val="10A818CA"/>
    <w:rsid w:val="10CE235F"/>
    <w:rsid w:val="10ED552F"/>
    <w:rsid w:val="11182DCA"/>
    <w:rsid w:val="1134315E"/>
    <w:rsid w:val="114333A1"/>
    <w:rsid w:val="11537A88"/>
    <w:rsid w:val="11553800"/>
    <w:rsid w:val="11643698"/>
    <w:rsid w:val="117A1736"/>
    <w:rsid w:val="11B12A00"/>
    <w:rsid w:val="11BC5F7E"/>
    <w:rsid w:val="121C74C4"/>
    <w:rsid w:val="123218A4"/>
    <w:rsid w:val="12323B41"/>
    <w:rsid w:val="12347C54"/>
    <w:rsid w:val="12454354"/>
    <w:rsid w:val="12505D75"/>
    <w:rsid w:val="126D2DCB"/>
    <w:rsid w:val="12802116"/>
    <w:rsid w:val="129A752D"/>
    <w:rsid w:val="12A90717"/>
    <w:rsid w:val="12D06A08"/>
    <w:rsid w:val="13050E55"/>
    <w:rsid w:val="13451652"/>
    <w:rsid w:val="1352208B"/>
    <w:rsid w:val="13737F6D"/>
    <w:rsid w:val="137668AA"/>
    <w:rsid w:val="137A64A5"/>
    <w:rsid w:val="137D0DEC"/>
    <w:rsid w:val="13900717"/>
    <w:rsid w:val="139A199E"/>
    <w:rsid w:val="139B74C4"/>
    <w:rsid w:val="13A520F1"/>
    <w:rsid w:val="14123C2A"/>
    <w:rsid w:val="142C636E"/>
    <w:rsid w:val="142E20E6"/>
    <w:rsid w:val="143D796A"/>
    <w:rsid w:val="14AE5823"/>
    <w:rsid w:val="14B52807"/>
    <w:rsid w:val="14BC5944"/>
    <w:rsid w:val="14BE346A"/>
    <w:rsid w:val="14CF2D97"/>
    <w:rsid w:val="14FE7D0A"/>
    <w:rsid w:val="151B27C5"/>
    <w:rsid w:val="152837CB"/>
    <w:rsid w:val="1537321C"/>
    <w:rsid w:val="153C49AF"/>
    <w:rsid w:val="15667941"/>
    <w:rsid w:val="156D4E90"/>
    <w:rsid w:val="15751901"/>
    <w:rsid w:val="15AF4FFD"/>
    <w:rsid w:val="15B6242C"/>
    <w:rsid w:val="15C94AAA"/>
    <w:rsid w:val="15D31197"/>
    <w:rsid w:val="15DB2BA4"/>
    <w:rsid w:val="15E93BDE"/>
    <w:rsid w:val="15F80BFE"/>
    <w:rsid w:val="15FF1F8C"/>
    <w:rsid w:val="160363A3"/>
    <w:rsid w:val="16133262"/>
    <w:rsid w:val="161377E5"/>
    <w:rsid w:val="1615355E"/>
    <w:rsid w:val="16455BE6"/>
    <w:rsid w:val="165468DD"/>
    <w:rsid w:val="165A5414"/>
    <w:rsid w:val="1663474A"/>
    <w:rsid w:val="16683FBB"/>
    <w:rsid w:val="166A421E"/>
    <w:rsid w:val="166C107B"/>
    <w:rsid w:val="167C05F6"/>
    <w:rsid w:val="16A86180"/>
    <w:rsid w:val="16B03286"/>
    <w:rsid w:val="16B8213B"/>
    <w:rsid w:val="16D30B50"/>
    <w:rsid w:val="16E178E4"/>
    <w:rsid w:val="16E563F3"/>
    <w:rsid w:val="16FD0BBE"/>
    <w:rsid w:val="170A508C"/>
    <w:rsid w:val="17125CEF"/>
    <w:rsid w:val="172B6DB1"/>
    <w:rsid w:val="17484758"/>
    <w:rsid w:val="176522C3"/>
    <w:rsid w:val="176A5B2B"/>
    <w:rsid w:val="176A7C19"/>
    <w:rsid w:val="17854A03"/>
    <w:rsid w:val="178F7340"/>
    <w:rsid w:val="17A31933"/>
    <w:rsid w:val="17B77E34"/>
    <w:rsid w:val="17B8496A"/>
    <w:rsid w:val="17E31439"/>
    <w:rsid w:val="181E2472"/>
    <w:rsid w:val="182878E7"/>
    <w:rsid w:val="183F48C2"/>
    <w:rsid w:val="185E319C"/>
    <w:rsid w:val="186B56B7"/>
    <w:rsid w:val="187529D9"/>
    <w:rsid w:val="18754787"/>
    <w:rsid w:val="188D75FC"/>
    <w:rsid w:val="18B52578"/>
    <w:rsid w:val="18FF2AB3"/>
    <w:rsid w:val="191A0E13"/>
    <w:rsid w:val="19314B62"/>
    <w:rsid w:val="194D300E"/>
    <w:rsid w:val="194F6F4C"/>
    <w:rsid w:val="195425EF"/>
    <w:rsid w:val="19550115"/>
    <w:rsid w:val="19636CD6"/>
    <w:rsid w:val="196855D2"/>
    <w:rsid w:val="19741B10"/>
    <w:rsid w:val="198D5B01"/>
    <w:rsid w:val="19A24C48"/>
    <w:rsid w:val="19D90D46"/>
    <w:rsid w:val="19D92AF4"/>
    <w:rsid w:val="19F54FB8"/>
    <w:rsid w:val="1A1003D4"/>
    <w:rsid w:val="1A2421CB"/>
    <w:rsid w:val="1A3907DB"/>
    <w:rsid w:val="1A5A3C35"/>
    <w:rsid w:val="1A700320"/>
    <w:rsid w:val="1A8647E9"/>
    <w:rsid w:val="1A88203E"/>
    <w:rsid w:val="1A8B2040"/>
    <w:rsid w:val="1AA366DA"/>
    <w:rsid w:val="1AA9696A"/>
    <w:rsid w:val="1AB07CF9"/>
    <w:rsid w:val="1ACA37CD"/>
    <w:rsid w:val="1ACC4407"/>
    <w:rsid w:val="1AD511B6"/>
    <w:rsid w:val="1B20321C"/>
    <w:rsid w:val="1B4653B9"/>
    <w:rsid w:val="1B67300F"/>
    <w:rsid w:val="1B697EA8"/>
    <w:rsid w:val="1BA22E4D"/>
    <w:rsid w:val="1BA334FB"/>
    <w:rsid w:val="1BB47375"/>
    <w:rsid w:val="1BBB0703"/>
    <w:rsid w:val="1BBC5B46"/>
    <w:rsid w:val="1BD73CD5"/>
    <w:rsid w:val="1BEB1504"/>
    <w:rsid w:val="1BF1246E"/>
    <w:rsid w:val="1BFD1C9F"/>
    <w:rsid w:val="1C00080C"/>
    <w:rsid w:val="1C0302FC"/>
    <w:rsid w:val="1C1D3620"/>
    <w:rsid w:val="1C2A5889"/>
    <w:rsid w:val="1C422BD3"/>
    <w:rsid w:val="1C622F4A"/>
    <w:rsid w:val="1C6449AB"/>
    <w:rsid w:val="1C744D56"/>
    <w:rsid w:val="1CB37368"/>
    <w:rsid w:val="1CBF770E"/>
    <w:rsid w:val="1CC655B2"/>
    <w:rsid w:val="1CED6FE2"/>
    <w:rsid w:val="1CF540E9"/>
    <w:rsid w:val="1D06705F"/>
    <w:rsid w:val="1D0E0D07"/>
    <w:rsid w:val="1D1F1166"/>
    <w:rsid w:val="1D2422D8"/>
    <w:rsid w:val="1D295B40"/>
    <w:rsid w:val="1D320E99"/>
    <w:rsid w:val="1D470B54"/>
    <w:rsid w:val="1D4F6A8D"/>
    <w:rsid w:val="1D502A2B"/>
    <w:rsid w:val="1D553584"/>
    <w:rsid w:val="1D6A04CA"/>
    <w:rsid w:val="1D774AFE"/>
    <w:rsid w:val="1D917F7E"/>
    <w:rsid w:val="1DBF7955"/>
    <w:rsid w:val="1DC908BE"/>
    <w:rsid w:val="1E731769"/>
    <w:rsid w:val="1E875215"/>
    <w:rsid w:val="1E8847C4"/>
    <w:rsid w:val="1E937715"/>
    <w:rsid w:val="1EB61656"/>
    <w:rsid w:val="1ED16490"/>
    <w:rsid w:val="1F2E5690"/>
    <w:rsid w:val="1F335EDC"/>
    <w:rsid w:val="1F58561E"/>
    <w:rsid w:val="1F6258ED"/>
    <w:rsid w:val="1F7E6BA5"/>
    <w:rsid w:val="1F890B18"/>
    <w:rsid w:val="1F923E71"/>
    <w:rsid w:val="1FC009DE"/>
    <w:rsid w:val="1FC57DA2"/>
    <w:rsid w:val="1FE31005"/>
    <w:rsid w:val="1FEB3581"/>
    <w:rsid w:val="20621B02"/>
    <w:rsid w:val="206C6470"/>
    <w:rsid w:val="20944584"/>
    <w:rsid w:val="209A1721"/>
    <w:rsid w:val="20A7394C"/>
    <w:rsid w:val="20CC5161"/>
    <w:rsid w:val="20D14818"/>
    <w:rsid w:val="20F67F66"/>
    <w:rsid w:val="20FE0472"/>
    <w:rsid w:val="210466A8"/>
    <w:rsid w:val="214152F7"/>
    <w:rsid w:val="21787096"/>
    <w:rsid w:val="218312A4"/>
    <w:rsid w:val="218D5AE4"/>
    <w:rsid w:val="21AE4866"/>
    <w:rsid w:val="21DF0EC4"/>
    <w:rsid w:val="21E17886"/>
    <w:rsid w:val="21E93AF0"/>
    <w:rsid w:val="21FC3824"/>
    <w:rsid w:val="22274D44"/>
    <w:rsid w:val="22286A32"/>
    <w:rsid w:val="224D22D1"/>
    <w:rsid w:val="22743D02"/>
    <w:rsid w:val="228E7917"/>
    <w:rsid w:val="228F63BC"/>
    <w:rsid w:val="22AC524A"/>
    <w:rsid w:val="22B660C8"/>
    <w:rsid w:val="22C00CF5"/>
    <w:rsid w:val="22EE13BE"/>
    <w:rsid w:val="22EE7610"/>
    <w:rsid w:val="230C5CE8"/>
    <w:rsid w:val="23264FFC"/>
    <w:rsid w:val="2332633A"/>
    <w:rsid w:val="23367AF4"/>
    <w:rsid w:val="233D0598"/>
    <w:rsid w:val="23694EE9"/>
    <w:rsid w:val="2378512C"/>
    <w:rsid w:val="239D2DE4"/>
    <w:rsid w:val="23C10881"/>
    <w:rsid w:val="23ED5B1A"/>
    <w:rsid w:val="240C30E0"/>
    <w:rsid w:val="24134E54"/>
    <w:rsid w:val="241937CD"/>
    <w:rsid w:val="2419690F"/>
    <w:rsid w:val="24336535"/>
    <w:rsid w:val="245E2574"/>
    <w:rsid w:val="24885C8B"/>
    <w:rsid w:val="24A73F1B"/>
    <w:rsid w:val="24B32684"/>
    <w:rsid w:val="24CF3471"/>
    <w:rsid w:val="24E16D01"/>
    <w:rsid w:val="24ED1C69"/>
    <w:rsid w:val="251B66B7"/>
    <w:rsid w:val="251C4AA7"/>
    <w:rsid w:val="25227D8D"/>
    <w:rsid w:val="252862AC"/>
    <w:rsid w:val="254B1C0A"/>
    <w:rsid w:val="25583467"/>
    <w:rsid w:val="255B4D05"/>
    <w:rsid w:val="255C2E47"/>
    <w:rsid w:val="257302A1"/>
    <w:rsid w:val="258B7398"/>
    <w:rsid w:val="25955B83"/>
    <w:rsid w:val="25A14E0E"/>
    <w:rsid w:val="25D54AB7"/>
    <w:rsid w:val="25DC5E46"/>
    <w:rsid w:val="25E836EC"/>
    <w:rsid w:val="264E0A8D"/>
    <w:rsid w:val="265E11FA"/>
    <w:rsid w:val="26804A23"/>
    <w:rsid w:val="26865DB2"/>
    <w:rsid w:val="26905D81"/>
    <w:rsid w:val="26D7660D"/>
    <w:rsid w:val="26D92385"/>
    <w:rsid w:val="26DF7A2C"/>
    <w:rsid w:val="271240A5"/>
    <w:rsid w:val="27133AE9"/>
    <w:rsid w:val="271D6716"/>
    <w:rsid w:val="27225ADA"/>
    <w:rsid w:val="27286E69"/>
    <w:rsid w:val="27320C63"/>
    <w:rsid w:val="27343A60"/>
    <w:rsid w:val="27421CD9"/>
    <w:rsid w:val="2749750B"/>
    <w:rsid w:val="274B0EFF"/>
    <w:rsid w:val="275D4D64"/>
    <w:rsid w:val="277B51EB"/>
    <w:rsid w:val="27800A53"/>
    <w:rsid w:val="2786723A"/>
    <w:rsid w:val="27BB7CDD"/>
    <w:rsid w:val="27BF77CD"/>
    <w:rsid w:val="27EA5CB9"/>
    <w:rsid w:val="28137B19"/>
    <w:rsid w:val="28235FAE"/>
    <w:rsid w:val="28292A24"/>
    <w:rsid w:val="282F2711"/>
    <w:rsid w:val="283209F9"/>
    <w:rsid w:val="283C7070"/>
    <w:rsid w:val="28532A4F"/>
    <w:rsid w:val="28B906C0"/>
    <w:rsid w:val="28CF0085"/>
    <w:rsid w:val="28D70B46"/>
    <w:rsid w:val="28DD75F0"/>
    <w:rsid w:val="28E74467"/>
    <w:rsid w:val="28F32CB4"/>
    <w:rsid w:val="29611C82"/>
    <w:rsid w:val="2987256D"/>
    <w:rsid w:val="29944B54"/>
    <w:rsid w:val="29CC7F7F"/>
    <w:rsid w:val="29CE3CF8"/>
    <w:rsid w:val="29E20C56"/>
    <w:rsid w:val="29E8131F"/>
    <w:rsid w:val="2A0A7352"/>
    <w:rsid w:val="2A1B4A63"/>
    <w:rsid w:val="2A385615"/>
    <w:rsid w:val="2A537D80"/>
    <w:rsid w:val="2A581813"/>
    <w:rsid w:val="2A80018E"/>
    <w:rsid w:val="2A8223DF"/>
    <w:rsid w:val="2A830F86"/>
    <w:rsid w:val="2A9860B3"/>
    <w:rsid w:val="2ABE3D6C"/>
    <w:rsid w:val="2ACA68CA"/>
    <w:rsid w:val="2AD215C5"/>
    <w:rsid w:val="2B057BED"/>
    <w:rsid w:val="2B157704"/>
    <w:rsid w:val="2B1B11BE"/>
    <w:rsid w:val="2B2067D5"/>
    <w:rsid w:val="2B405AEB"/>
    <w:rsid w:val="2B626920"/>
    <w:rsid w:val="2B65068C"/>
    <w:rsid w:val="2B7D739D"/>
    <w:rsid w:val="2B9D1BD3"/>
    <w:rsid w:val="2BB270D3"/>
    <w:rsid w:val="2BCF1FA9"/>
    <w:rsid w:val="2C013B28"/>
    <w:rsid w:val="2C35005E"/>
    <w:rsid w:val="2C3F345A"/>
    <w:rsid w:val="2C520C10"/>
    <w:rsid w:val="2C534988"/>
    <w:rsid w:val="2C622E1D"/>
    <w:rsid w:val="2C792640"/>
    <w:rsid w:val="2C793E3A"/>
    <w:rsid w:val="2C7C7A3B"/>
    <w:rsid w:val="2CB371D5"/>
    <w:rsid w:val="2CD930DF"/>
    <w:rsid w:val="2CF27769"/>
    <w:rsid w:val="2CF32E4F"/>
    <w:rsid w:val="2CF5799B"/>
    <w:rsid w:val="2CFF5D74"/>
    <w:rsid w:val="2D0042CE"/>
    <w:rsid w:val="2D053ED4"/>
    <w:rsid w:val="2D0A3299"/>
    <w:rsid w:val="2D200D0E"/>
    <w:rsid w:val="2D2E54AB"/>
    <w:rsid w:val="2D32459D"/>
    <w:rsid w:val="2D652951"/>
    <w:rsid w:val="2D6D1A79"/>
    <w:rsid w:val="2D8172D3"/>
    <w:rsid w:val="2DA4336A"/>
    <w:rsid w:val="2DAC4350"/>
    <w:rsid w:val="2DCC4B81"/>
    <w:rsid w:val="2DDD275B"/>
    <w:rsid w:val="2DE33502"/>
    <w:rsid w:val="2E112CD6"/>
    <w:rsid w:val="2E187C37"/>
    <w:rsid w:val="2E652751"/>
    <w:rsid w:val="2E7A1FBA"/>
    <w:rsid w:val="2E7A444E"/>
    <w:rsid w:val="2E7F7CB6"/>
    <w:rsid w:val="2E836496"/>
    <w:rsid w:val="2E9A4603"/>
    <w:rsid w:val="2EA25B05"/>
    <w:rsid w:val="2EAE2349"/>
    <w:rsid w:val="2EB77450"/>
    <w:rsid w:val="2EDF0755"/>
    <w:rsid w:val="2EE23DA1"/>
    <w:rsid w:val="2F171C9D"/>
    <w:rsid w:val="2F5559FA"/>
    <w:rsid w:val="2F746F6D"/>
    <w:rsid w:val="2F974B8C"/>
    <w:rsid w:val="2FBD0E52"/>
    <w:rsid w:val="2FC5794B"/>
    <w:rsid w:val="2FE40780"/>
    <w:rsid w:val="2FEC3129"/>
    <w:rsid w:val="2FF344B8"/>
    <w:rsid w:val="2FF67B04"/>
    <w:rsid w:val="303B19BB"/>
    <w:rsid w:val="303D1BD7"/>
    <w:rsid w:val="30640F12"/>
    <w:rsid w:val="30677EFF"/>
    <w:rsid w:val="307B14C1"/>
    <w:rsid w:val="307D0225"/>
    <w:rsid w:val="309A253E"/>
    <w:rsid w:val="30AE6631"/>
    <w:rsid w:val="30AE6927"/>
    <w:rsid w:val="30B359F5"/>
    <w:rsid w:val="30B5421D"/>
    <w:rsid w:val="30B8125D"/>
    <w:rsid w:val="30CE651B"/>
    <w:rsid w:val="30D37E45"/>
    <w:rsid w:val="30D94042"/>
    <w:rsid w:val="30EA6359"/>
    <w:rsid w:val="30FC114A"/>
    <w:rsid w:val="31224929"/>
    <w:rsid w:val="31464ABB"/>
    <w:rsid w:val="316057DE"/>
    <w:rsid w:val="317C04DD"/>
    <w:rsid w:val="31992E7A"/>
    <w:rsid w:val="31AD03DD"/>
    <w:rsid w:val="31C765D9"/>
    <w:rsid w:val="31E56498"/>
    <w:rsid w:val="320F3BBD"/>
    <w:rsid w:val="32365B38"/>
    <w:rsid w:val="32377466"/>
    <w:rsid w:val="323D1A1A"/>
    <w:rsid w:val="32724628"/>
    <w:rsid w:val="328D573F"/>
    <w:rsid w:val="328F4F0B"/>
    <w:rsid w:val="329428FC"/>
    <w:rsid w:val="32EC2D85"/>
    <w:rsid w:val="32ED1692"/>
    <w:rsid w:val="334A756F"/>
    <w:rsid w:val="33664E60"/>
    <w:rsid w:val="3392223A"/>
    <w:rsid w:val="33B21E99"/>
    <w:rsid w:val="33D61E9C"/>
    <w:rsid w:val="33DF6B01"/>
    <w:rsid w:val="33EE0BBC"/>
    <w:rsid w:val="33F03121"/>
    <w:rsid w:val="340524CB"/>
    <w:rsid w:val="340C3D9A"/>
    <w:rsid w:val="34207846"/>
    <w:rsid w:val="342711D7"/>
    <w:rsid w:val="344018BE"/>
    <w:rsid w:val="344C00B5"/>
    <w:rsid w:val="345878FE"/>
    <w:rsid w:val="345D63A4"/>
    <w:rsid w:val="346A286F"/>
    <w:rsid w:val="346F6654"/>
    <w:rsid w:val="34831B82"/>
    <w:rsid w:val="348C46C9"/>
    <w:rsid w:val="34A55F9D"/>
    <w:rsid w:val="34B85CD0"/>
    <w:rsid w:val="34F1125E"/>
    <w:rsid w:val="350C1B78"/>
    <w:rsid w:val="350D601C"/>
    <w:rsid w:val="35215623"/>
    <w:rsid w:val="35447564"/>
    <w:rsid w:val="354849DE"/>
    <w:rsid w:val="358C7F5A"/>
    <w:rsid w:val="358E5B04"/>
    <w:rsid w:val="35977693"/>
    <w:rsid w:val="359E6121"/>
    <w:rsid w:val="359E6C74"/>
    <w:rsid w:val="35B46497"/>
    <w:rsid w:val="35BC1F31"/>
    <w:rsid w:val="35C31E26"/>
    <w:rsid w:val="35F04FF6"/>
    <w:rsid w:val="35F31296"/>
    <w:rsid w:val="36080591"/>
    <w:rsid w:val="36297D4E"/>
    <w:rsid w:val="363B0967"/>
    <w:rsid w:val="366C6D72"/>
    <w:rsid w:val="36815E95"/>
    <w:rsid w:val="369462C9"/>
    <w:rsid w:val="36A428BE"/>
    <w:rsid w:val="36AE6D2B"/>
    <w:rsid w:val="36D000F4"/>
    <w:rsid w:val="36D05F12"/>
    <w:rsid w:val="36D13079"/>
    <w:rsid w:val="36FA25D0"/>
    <w:rsid w:val="3706131E"/>
    <w:rsid w:val="37245B46"/>
    <w:rsid w:val="3724764D"/>
    <w:rsid w:val="372B4143"/>
    <w:rsid w:val="37427723"/>
    <w:rsid w:val="37593C73"/>
    <w:rsid w:val="376A0006"/>
    <w:rsid w:val="377D2FD4"/>
    <w:rsid w:val="378D6B0A"/>
    <w:rsid w:val="379A790F"/>
    <w:rsid w:val="379E45F6"/>
    <w:rsid w:val="37BF1123"/>
    <w:rsid w:val="37C3103C"/>
    <w:rsid w:val="37F015FD"/>
    <w:rsid w:val="37FE1C4C"/>
    <w:rsid w:val="381274A5"/>
    <w:rsid w:val="38225C9E"/>
    <w:rsid w:val="38433B03"/>
    <w:rsid w:val="386E29FC"/>
    <w:rsid w:val="38871EB6"/>
    <w:rsid w:val="388E7474"/>
    <w:rsid w:val="38C20ECB"/>
    <w:rsid w:val="38F44DFD"/>
    <w:rsid w:val="38FD0155"/>
    <w:rsid w:val="390037A2"/>
    <w:rsid w:val="390E5EBF"/>
    <w:rsid w:val="39167469"/>
    <w:rsid w:val="39242027"/>
    <w:rsid w:val="39542E1A"/>
    <w:rsid w:val="39616936"/>
    <w:rsid w:val="3962445C"/>
    <w:rsid w:val="39627FB8"/>
    <w:rsid w:val="396430E8"/>
    <w:rsid w:val="39A86313"/>
    <w:rsid w:val="39AD0062"/>
    <w:rsid w:val="39BC1DBE"/>
    <w:rsid w:val="39C1677B"/>
    <w:rsid w:val="39DD1F03"/>
    <w:rsid w:val="39FA1391"/>
    <w:rsid w:val="3A3F1290"/>
    <w:rsid w:val="3A7B57D6"/>
    <w:rsid w:val="3A931974"/>
    <w:rsid w:val="3AA47050"/>
    <w:rsid w:val="3AA60379"/>
    <w:rsid w:val="3AAC6AEE"/>
    <w:rsid w:val="3AC151B3"/>
    <w:rsid w:val="3AC877A8"/>
    <w:rsid w:val="3ACF0E1F"/>
    <w:rsid w:val="3AD56872"/>
    <w:rsid w:val="3AF15CBD"/>
    <w:rsid w:val="3B20637D"/>
    <w:rsid w:val="3B3E3070"/>
    <w:rsid w:val="3B471C90"/>
    <w:rsid w:val="3B925DE3"/>
    <w:rsid w:val="3BAC35F3"/>
    <w:rsid w:val="3BD17677"/>
    <w:rsid w:val="3BD864DE"/>
    <w:rsid w:val="3BFA32F9"/>
    <w:rsid w:val="3C243C4B"/>
    <w:rsid w:val="3C3F0A85"/>
    <w:rsid w:val="3C5060B2"/>
    <w:rsid w:val="3C5E659B"/>
    <w:rsid w:val="3C7544A7"/>
    <w:rsid w:val="3C812E4B"/>
    <w:rsid w:val="3CA26676"/>
    <w:rsid w:val="3CB353CE"/>
    <w:rsid w:val="3CC52D38"/>
    <w:rsid w:val="3CDE3DFA"/>
    <w:rsid w:val="3D1B6DFC"/>
    <w:rsid w:val="3D1F212E"/>
    <w:rsid w:val="3D2E2FD3"/>
    <w:rsid w:val="3D3D77B6"/>
    <w:rsid w:val="3D4032CB"/>
    <w:rsid w:val="3D4F4CF8"/>
    <w:rsid w:val="3D655B34"/>
    <w:rsid w:val="3D8C4172"/>
    <w:rsid w:val="3DA05698"/>
    <w:rsid w:val="3DA908AC"/>
    <w:rsid w:val="3DB1150E"/>
    <w:rsid w:val="3DD11BB1"/>
    <w:rsid w:val="3DD64601"/>
    <w:rsid w:val="3E587BDC"/>
    <w:rsid w:val="3E86299B"/>
    <w:rsid w:val="3E8C3486"/>
    <w:rsid w:val="3EED47C8"/>
    <w:rsid w:val="3EEF0540"/>
    <w:rsid w:val="3EF43DA9"/>
    <w:rsid w:val="3EF913BF"/>
    <w:rsid w:val="3EFB696F"/>
    <w:rsid w:val="3F542A99"/>
    <w:rsid w:val="3F890995"/>
    <w:rsid w:val="3F9B06C8"/>
    <w:rsid w:val="3FC97123"/>
    <w:rsid w:val="3FCE0156"/>
    <w:rsid w:val="3FD9689A"/>
    <w:rsid w:val="3FDA11F0"/>
    <w:rsid w:val="403C77B5"/>
    <w:rsid w:val="407C1769"/>
    <w:rsid w:val="40B830F2"/>
    <w:rsid w:val="40E02836"/>
    <w:rsid w:val="40E83138"/>
    <w:rsid w:val="40FF07E3"/>
    <w:rsid w:val="411E6EBB"/>
    <w:rsid w:val="41230975"/>
    <w:rsid w:val="41432DC5"/>
    <w:rsid w:val="415B1EBD"/>
    <w:rsid w:val="415E251B"/>
    <w:rsid w:val="416A65A4"/>
    <w:rsid w:val="418E5865"/>
    <w:rsid w:val="41A03A7B"/>
    <w:rsid w:val="41AA57CC"/>
    <w:rsid w:val="41D659E7"/>
    <w:rsid w:val="41E50BFA"/>
    <w:rsid w:val="41EF0857"/>
    <w:rsid w:val="42552980"/>
    <w:rsid w:val="42664FBD"/>
    <w:rsid w:val="42733236"/>
    <w:rsid w:val="428611BC"/>
    <w:rsid w:val="42893DED"/>
    <w:rsid w:val="429351C2"/>
    <w:rsid w:val="42AE0712"/>
    <w:rsid w:val="42BC698B"/>
    <w:rsid w:val="42BD42D7"/>
    <w:rsid w:val="42C21812"/>
    <w:rsid w:val="42ED39CC"/>
    <w:rsid w:val="42F02AD9"/>
    <w:rsid w:val="43193DDE"/>
    <w:rsid w:val="431B5DA8"/>
    <w:rsid w:val="43252782"/>
    <w:rsid w:val="43302ED5"/>
    <w:rsid w:val="43486471"/>
    <w:rsid w:val="43631D5D"/>
    <w:rsid w:val="436D5B52"/>
    <w:rsid w:val="436D5ED7"/>
    <w:rsid w:val="43713C1A"/>
    <w:rsid w:val="4373653D"/>
    <w:rsid w:val="437D57E3"/>
    <w:rsid w:val="43994680"/>
    <w:rsid w:val="43A61074"/>
    <w:rsid w:val="43BA0C6E"/>
    <w:rsid w:val="43D61CCF"/>
    <w:rsid w:val="44112D07"/>
    <w:rsid w:val="441C6FC7"/>
    <w:rsid w:val="442F13DF"/>
    <w:rsid w:val="445A2AAE"/>
    <w:rsid w:val="445E160D"/>
    <w:rsid w:val="44641089"/>
    <w:rsid w:val="44827761"/>
    <w:rsid w:val="448C6831"/>
    <w:rsid w:val="449A52AB"/>
    <w:rsid w:val="449C7512"/>
    <w:rsid w:val="44C24001"/>
    <w:rsid w:val="44C86445"/>
    <w:rsid w:val="44D206E8"/>
    <w:rsid w:val="44E32549"/>
    <w:rsid w:val="44EB5582"/>
    <w:rsid w:val="44F63746"/>
    <w:rsid w:val="4506371E"/>
    <w:rsid w:val="453E5223"/>
    <w:rsid w:val="454A666F"/>
    <w:rsid w:val="456B17EB"/>
    <w:rsid w:val="456D0411"/>
    <w:rsid w:val="45806396"/>
    <w:rsid w:val="458C4D3B"/>
    <w:rsid w:val="45A8495B"/>
    <w:rsid w:val="45C5024D"/>
    <w:rsid w:val="45D64208"/>
    <w:rsid w:val="45D97AD0"/>
    <w:rsid w:val="45EA1781"/>
    <w:rsid w:val="45EA7CB3"/>
    <w:rsid w:val="45ED3300"/>
    <w:rsid w:val="46195EA3"/>
    <w:rsid w:val="461E33FF"/>
    <w:rsid w:val="46537607"/>
    <w:rsid w:val="46592743"/>
    <w:rsid w:val="465A0995"/>
    <w:rsid w:val="46622CED"/>
    <w:rsid w:val="467606AE"/>
    <w:rsid w:val="46A165C4"/>
    <w:rsid w:val="46EC35B7"/>
    <w:rsid w:val="46FA1DA3"/>
    <w:rsid w:val="47056954"/>
    <w:rsid w:val="47084895"/>
    <w:rsid w:val="47671C27"/>
    <w:rsid w:val="47A60859"/>
    <w:rsid w:val="47AB10B6"/>
    <w:rsid w:val="47B40579"/>
    <w:rsid w:val="47F74166"/>
    <w:rsid w:val="48227754"/>
    <w:rsid w:val="48396CD0"/>
    <w:rsid w:val="48573E4F"/>
    <w:rsid w:val="48580F04"/>
    <w:rsid w:val="486E0728"/>
    <w:rsid w:val="489363E0"/>
    <w:rsid w:val="48A439B3"/>
    <w:rsid w:val="48DA7B6B"/>
    <w:rsid w:val="48FA645F"/>
    <w:rsid w:val="48FB2F85"/>
    <w:rsid w:val="48FF5824"/>
    <w:rsid w:val="490D6201"/>
    <w:rsid w:val="492726A7"/>
    <w:rsid w:val="493C4382"/>
    <w:rsid w:val="496F0BFB"/>
    <w:rsid w:val="49760EAF"/>
    <w:rsid w:val="49912F9E"/>
    <w:rsid w:val="49B02FC2"/>
    <w:rsid w:val="49E94E06"/>
    <w:rsid w:val="4A270C3E"/>
    <w:rsid w:val="4A4200BE"/>
    <w:rsid w:val="4A4E1C03"/>
    <w:rsid w:val="4A5A0E61"/>
    <w:rsid w:val="4A670F01"/>
    <w:rsid w:val="4A6C0C97"/>
    <w:rsid w:val="4A874D48"/>
    <w:rsid w:val="4A92471A"/>
    <w:rsid w:val="4A9B157C"/>
    <w:rsid w:val="4AC42881"/>
    <w:rsid w:val="4AD30D16"/>
    <w:rsid w:val="4ADA02F6"/>
    <w:rsid w:val="4AE50FF1"/>
    <w:rsid w:val="4B0709C0"/>
    <w:rsid w:val="4B375749"/>
    <w:rsid w:val="4B3A58DC"/>
    <w:rsid w:val="4B3C69C2"/>
    <w:rsid w:val="4B491EC0"/>
    <w:rsid w:val="4B5A1437"/>
    <w:rsid w:val="4B737265"/>
    <w:rsid w:val="4B810772"/>
    <w:rsid w:val="4B882DB4"/>
    <w:rsid w:val="4BAB3A41"/>
    <w:rsid w:val="4BAE52DF"/>
    <w:rsid w:val="4BB5041C"/>
    <w:rsid w:val="4C0F3FD0"/>
    <w:rsid w:val="4C0F4F55"/>
    <w:rsid w:val="4C146DBC"/>
    <w:rsid w:val="4C211C2E"/>
    <w:rsid w:val="4C3E3832"/>
    <w:rsid w:val="4C485734"/>
    <w:rsid w:val="4C534102"/>
    <w:rsid w:val="4C8A18A8"/>
    <w:rsid w:val="4CBD3A2C"/>
    <w:rsid w:val="4CD64AED"/>
    <w:rsid w:val="4D1417B4"/>
    <w:rsid w:val="4D73058E"/>
    <w:rsid w:val="4D7A191D"/>
    <w:rsid w:val="4D95594F"/>
    <w:rsid w:val="4D9A3D6D"/>
    <w:rsid w:val="4D9F75D5"/>
    <w:rsid w:val="4DB017E2"/>
    <w:rsid w:val="4DB27309"/>
    <w:rsid w:val="4DD252B5"/>
    <w:rsid w:val="4E015B9A"/>
    <w:rsid w:val="4E0E7906"/>
    <w:rsid w:val="4E21623C"/>
    <w:rsid w:val="4E36725B"/>
    <w:rsid w:val="4E5A52AA"/>
    <w:rsid w:val="4E685C19"/>
    <w:rsid w:val="4E712D20"/>
    <w:rsid w:val="4E995558"/>
    <w:rsid w:val="4EAF55F6"/>
    <w:rsid w:val="4ECF5C98"/>
    <w:rsid w:val="4ED359A0"/>
    <w:rsid w:val="4EDB7DB9"/>
    <w:rsid w:val="4F0C5EA8"/>
    <w:rsid w:val="4F27298C"/>
    <w:rsid w:val="4F3C0898"/>
    <w:rsid w:val="4F697E9B"/>
    <w:rsid w:val="4F9D5D96"/>
    <w:rsid w:val="4FD23C92"/>
    <w:rsid w:val="4FD33566"/>
    <w:rsid w:val="4FDF554A"/>
    <w:rsid w:val="50007C26"/>
    <w:rsid w:val="500A342C"/>
    <w:rsid w:val="502B33A2"/>
    <w:rsid w:val="502E266F"/>
    <w:rsid w:val="503132B0"/>
    <w:rsid w:val="5041021C"/>
    <w:rsid w:val="505C17AE"/>
    <w:rsid w:val="507E7976"/>
    <w:rsid w:val="50B978F7"/>
    <w:rsid w:val="50CA722E"/>
    <w:rsid w:val="50CD4459"/>
    <w:rsid w:val="50F87728"/>
    <w:rsid w:val="50FD4D3F"/>
    <w:rsid w:val="516459DC"/>
    <w:rsid w:val="516E3547"/>
    <w:rsid w:val="517B3EB5"/>
    <w:rsid w:val="518F609A"/>
    <w:rsid w:val="51937B7B"/>
    <w:rsid w:val="51A83BD6"/>
    <w:rsid w:val="51B07DB7"/>
    <w:rsid w:val="51CC4D03"/>
    <w:rsid w:val="51FF0643"/>
    <w:rsid w:val="52081BED"/>
    <w:rsid w:val="521B1302"/>
    <w:rsid w:val="52263E21"/>
    <w:rsid w:val="52272332"/>
    <w:rsid w:val="52274644"/>
    <w:rsid w:val="523365AF"/>
    <w:rsid w:val="524E3102"/>
    <w:rsid w:val="52707792"/>
    <w:rsid w:val="527A416D"/>
    <w:rsid w:val="527C5A8E"/>
    <w:rsid w:val="527E5A0B"/>
    <w:rsid w:val="52884ADC"/>
    <w:rsid w:val="52E37F64"/>
    <w:rsid w:val="531C1600"/>
    <w:rsid w:val="531E2D4A"/>
    <w:rsid w:val="532849D1"/>
    <w:rsid w:val="53360094"/>
    <w:rsid w:val="534F1156"/>
    <w:rsid w:val="535136A9"/>
    <w:rsid w:val="53514075"/>
    <w:rsid w:val="536031B8"/>
    <w:rsid w:val="538E6122"/>
    <w:rsid w:val="53937294"/>
    <w:rsid w:val="53E23521"/>
    <w:rsid w:val="53E34492"/>
    <w:rsid w:val="53F7031F"/>
    <w:rsid w:val="54083F8E"/>
    <w:rsid w:val="54511666"/>
    <w:rsid w:val="545A24A8"/>
    <w:rsid w:val="545C7FCE"/>
    <w:rsid w:val="54764ED6"/>
    <w:rsid w:val="54A454D1"/>
    <w:rsid w:val="54A93FE9"/>
    <w:rsid w:val="54C6229D"/>
    <w:rsid w:val="54D55BC0"/>
    <w:rsid w:val="54F91783"/>
    <w:rsid w:val="55052EE6"/>
    <w:rsid w:val="550A17D8"/>
    <w:rsid w:val="55117EDD"/>
    <w:rsid w:val="551C6D0B"/>
    <w:rsid w:val="55205DF9"/>
    <w:rsid w:val="55284354"/>
    <w:rsid w:val="552C5BF2"/>
    <w:rsid w:val="55335901"/>
    <w:rsid w:val="553B7BE4"/>
    <w:rsid w:val="55512ADF"/>
    <w:rsid w:val="55A644D4"/>
    <w:rsid w:val="55CC2F32"/>
    <w:rsid w:val="55F66200"/>
    <w:rsid w:val="56186177"/>
    <w:rsid w:val="561D0AB3"/>
    <w:rsid w:val="5664316A"/>
    <w:rsid w:val="566D0271"/>
    <w:rsid w:val="566E5D97"/>
    <w:rsid w:val="56BF5CC2"/>
    <w:rsid w:val="56DF0A43"/>
    <w:rsid w:val="56E36785"/>
    <w:rsid w:val="56F71AEE"/>
    <w:rsid w:val="57193F55"/>
    <w:rsid w:val="57205A20"/>
    <w:rsid w:val="57371141"/>
    <w:rsid w:val="5739669D"/>
    <w:rsid w:val="574239D8"/>
    <w:rsid w:val="574A2360"/>
    <w:rsid w:val="574D00A2"/>
    <w:rsid w:val="57621CFC"/>
    <w:rsid w:val="577F09E6"/>
    <w:rsid w:val="578A6C00"/>
    <w:rsid w:val="57BD0D84"/>
    <w:rsid w:val="57BD5AE3"/>
    <w:rsid w:val="57BE4AFC"/>
    <w:rsid w:val="57E554B5"/>
    <w:rsid w:val="58115850"/>
    <w:rsid w:val="581F309E"/>
    <w:rsid w:val="58242BB1"/>
    <w:rsid w:val="582540C9"/>
    <w:rsid w:val="58374D62"/>
    <w:rsid w:val="584274DB"/>
    <w:rsid w:val="587C31D9"/>
    <w:rsid w:val="58810003"/>
    <w:rsid w:val="588A4C51"/>
    <w:rsid w:val="58CA7BFC"/>
    <w:rsid w:val="58D8399B"/>
    <w:rsid w:val="58DF2F7C"/>
    <w:rsid w:val="58E40592"/>
    <w:rsid w:val="58EF1411"/>
    <w:rsid w:val="58FF1A2A"/>
    <w:rsid w:val="590850AE"/>
    <w:rsid w:val="592941F7"/>
    <w:rsid w:val="59331A8A"/>
    <w:rsid w:val="59367B5C"/>
    <w:rsid w:val="593E61EF"/>
    <w:rsid w:val="5944063D"/>
    <w:rsid w:val="59542CE6"/>
    <w:rsid w:val="5980475F"/>
    <w:rsid w:val="5987558A"/>
    <w:rsid w:val="598A262C"/>
    <w:rsid w:val="59A862B6"/>
    <w:rsid w:val="59C02DAD"/>
    <w:rsid w:val="59CF119B"/>
    <w:rsid w:val="59DF46C5"/>
    <w:rsid w:val="59F62804"/>
    <w:rsid w:val="59FF437C"/>
    <w:rsid w:val="5A08133A"/>
    <w:rsid w:val="5A492DA3"/>
    <w:rsid w:val="5A621944"/>
    <w:rsid w:val="5A772925"/>
    <w:rsid w:val="5A985AD8"/>
    <w:rsid w:val="5AB741B0"/>
    <w:rsid w:val="5AB87F28"/>
    <w:rsid w:val="5AD52888"/>
    <w:rsid w:val="5ADF731F"/>
    <w:rsid w:val="5AF54CD9"/>
    <w:rsid w:val="5B031EF0"/>
    <w:rsid w:val="5B044F1C"/>
    <w:rsid w:val="5B046CCA"/>
    <w:rsid w:val="5B062A42"/>
    <w:rsid w:val="5B0D5011"/>
    <w:rsid w:val="5B18360F"/>
    <w:rsid w:val="5B1A0C3F"/>
    <w:rsid w:val="5B1C04B7"/>
    <w:rsid w:val="5B1E5FDD"/>
    <w:rsid w:val="5B1E7F3E"/>
    <w:rsid w:val="5B20148D"/>
    <w:rsid w:val="5B274DED"/>
    <w:rsid w:val="5B39568F"/>
    <w:rsid w:val="5B3C481F"/>
    <w:rsid w:val="5B500161"/>
    <w:rsid w:val="5B501F0F"/>
    <w:rsid w:val="5B61411C"/>
    <w:rsid w:val="5B702FC3"/>
    <w:rsid w:val="5B726329"/>
    <w:rsid w:val="5B7C6694"/>
    <w:rsid w:val="5BA74225"/>
    <w:rsid w:val="5BBB4FC5"/>
    <w:rsid w:val="5BD352CF"/>
    <w:rsid w:val="5C133668"/>
    <w:rsid w:val="5C255DD3"/>
    <w:rsid w:val="5C2B1433"/>
    <w:rsid w:val="5C467C05"/>
    <w:rsid w:val="5C5B6DBD"/>
    <w:rsid w:val="5C677510"/>
    <w:rsid w:val="5C7560D1"/>
    <w:rsid w:val="5C7C352E"/>
    <w:rsid w:val="5C8B76A2"/>
    <w:rsid w:val="5CB220B8"/>
    <w:rsid w:val="5CD95AB7"/>
    <w:rsid w:val="5CF54CDA"/>
    <w:rsid w:val="5D0E7975"/>
    <w:rsid w:val="5D18735D"/>
    <w:rsid w:val="5D345012"/>
    <w:rsid w:val="5D3513BC"/>
    <w:rsid w:val="5D393F7C"/>
    <w:rsid w:val="5D4C069A"/>
    <w:rsid w:val="5D777C27"/>
    <w:rsid w:val="5D7A7717"/>
    <w:rsid w:val="5D7C51FE"/>
    <w:rsid w:val="5DBE7604"/>
    <w:rsid w:val="5DC02392"/>
    <w:rsid w:val="5DCA41FA"/>
    <w:rsid w:val="5E0314BA"/>
    <w:rsid w:val="5E086D8E"/>
    <w:rsid w:val="5E0F7E5F"/>
    <w:rsid w:val="5E1E00A2"/>
    <w:rsid w:val="5E2E26AF"/>
    <w:rsid w:val="5E540F94"/>
    <w:rsid w:val="5E5C55A2"/>
    <w:rsid w:val="5E8720EC"/>
    <w:rsid w:val="5E8E6FD6"/>
    <w:rsid w:val="5E930A90"/>
    <w:rsid w:val="5EE4309A"/>
    <w:rsid w:val="5EE66E12"/>
    <w:rsid w:val="5F304531"/>
    <w:rsid w:val="5F683CCB"/>
    <w:rsid w:val="5F6E2D4E"/>
    <w:rsid w:val="5F702B80"/>
    <w:rsid w:val="5F870F5B"/>
    <w:rsid w:val="5FC32C98"/>
    <w:rsid w:val="5FC96EBE"/>
    <w:rsid w:val="5FCD4FFF"/>
    <w:rsid w:val="5FF863D5"/>
    <w:rsid w:val="5FFC4413"/>
    <w:rsid w:val="60064120"/>
    <w:rsid w:val="606C3347"/>
    <w:rsid w:val="60BD6973"/>
    <w:rsid w:val="60EA6962"/>
    <w:rsid w:val="613320B7"/>
    <w:rsid w:val="61410CF0"/>
    <w:rsid w:val="61504A17"/>
    <w:rsid w:val="615A3AE7"/>
    <w:rsid w:val="61724952"/>
    <w:rsid w:val="617933C3"/>
    <w:rsid w:val="617C1CB0"/>
    <w:rsid w:val="61A13A79"/>
    <w:rsid w:val="61AD0649"/>
    <w:rsid w:val="61E06DD4"/>
    <w:rsid w:val="61F01D56"/>
    <w:rsid w:val="61F16A83"/>
    <w:rsid w:val="6223037D"/>
    <w:rsid w:val="6225736E"/>
    <w:rsid w:val="62401256"/>
    <w:rsid w:val="628B766F"/>
    <w:rsid w:val="62907764"/>
    <w:rsid w:val="62A57BA7"/>
    <w:rsid w:val="62C92CD3"/>
    <w:rsid w:val="631B0CBA"/>
    <w:rsid w:val="635602DE"/>
    <w:rsid w:val="63572933"/>
    <w:rsid w:val="636B42E2"/>
    <w:rsid w:val="63954ADC"/>
    <w:rsid w:val="63BA086D"/>
    <w:rsid w:val="63CB4828"/>
    <w:rsid w:val="63CD27B8"/>
    <w:rsid w:val="63D062E3"/>
    <w:rsid w:val="63DD362B"/>
    <w:rsid w:val="63F55D49"/>
    <w:rsid w:val="63F835C4"/>
    <w:rsid w:val="64033E1D"/>
    <w:rsid w:val="64124205"/>
    <w:rsid w:val="643A5E7D"/>
    <w:rsid w:val="64414AEB"/>
    <w:rsid w:val="644B47C5"/>
    <w:rsid w:val="645779E1"/>
    <w:rsid w:val="645B714D"/>
    <w:rsid w:val="64721148"/>
    <w:rsid w:val="648B23AE"/>
    <w:rsid w:val="648E5A77"/>
    <w:rsid w:val="649410BE"/>
    <w:rsid w:val="64947E37"/>
    <w:rsid w:val="64D91D84"/>
    <w:rsid w:val="64F455DD"/>
    <w:rsid w:val="64F63B27"/>
    <w:rsid w:val="65193CCA"/>
    <w:rsid w:val="65297A59"/>
    <w:rsid w:val="652F1E92"/>
    <w:rsid w:val="653C7BF4"/>
    <w:rsid w:val="655A40B6"/>
    <w:rsid w:val="658360CB"/>
    <w:rsid w:val="658E1FB1"/>
    <w:rsid w:val="65953340"/>
    <w:rsid w:val="659D3FA3"/>
    <w:rsid w:val="65AA22FF"/>
    <w:rsid w:val="65CB6D62"/>
    <w:rsid w:val="65D8147F"/>
    <w:rsid w:val="65DA6FA5"/>
    <w:rsid w:val="66552ACF"/>
    <w:rsid w:val="66622FC9"/>
    <w:rsid w:val="666B3C9D"/>
    <w:rsid w:val="66A558EB"/>
    <w:rsid w:val="66A7157D"/>
    <w:rsid w:val="66B07D06"/>
    <w:rsid w:val="66C444DC"/>
    <w:rsid w:val="66CE1DB4"/>
    <w:rsid w:val="66CF04C0"/>
    <w:rsid w:val="66FE7028"/>
    <w:rsid w:val="670544F5"/>
    <w:rsid w:val="67234F1B"/>
    <w:rsid w:val="674C055B"/>
    <w:rsid w:val="674C24BE"/>
    <w:rsid w:val="677B47B7"/>
    <w:rsid w:val="67D877EE"/>
    <w:rsid w:val="682409AB"/>
    <w:rsid w:val="683230C8"/>
    <w:rsid w:val="685B3F6A"/>
    <w:rsid w:val="685C0CBC"/>
    <w:rsid w:val="68694610"/>
    <w:rsid w:val="68C06926"/>
    <w:rsid w:val="68D73C6F"/>
    <w:rsid w:val="68ED5241"/>
    <w:rsid w:val="690F51B7"/>
    <w:rsid w:val="691B5CA5"/>
    <w:rsid w:val="691E364C"/>
    <w:rsid w:val="69474951"/>
    <w:rsid w:val="695D5F23"/>
    <w:rsid w:val="699B4D1F"/>
    <w:rsid w:val="69A2427D"/>
    <w:rsid w:val="69EC779E"/>
    <w:rsid w:val="69FD5576"/>
    <w:rsid w:val="6A021D0F"/>
    <w:rsid w:val="6A026ACA"/>
    <w:rsid w:val="6A136F29"/>
    <w:rsid w:val="6A1E6870"/>
    <w:rsid w:val="6A3749C6"/>
    <w:rsid w:val="6A3B3D8A"/>
    <w:rsid w:val="6A470981"/>
    <w:rsid w:val="6A4B221F"/>
    <w:rsid w:val="6A647785"/>
    <w:rsid w:val="6A78676A"/>
    <w:rsid w:val="6A7D2732"/>
    <w:rsid w:val="6AA81420"/>
    <w:rsid w:val="6AD22940"/>
    <w:rsid w:val="6AD973FF"/>
    <w:rsid w:val="6AEC1C54"/>
    <w:rsid w:val="6AF97ECD"/>
    <w:rsid w:val="6B09606B"/>
    <w:rsid w:val="6B0A032C"/>
    <w:rsid w:val="6B283108"/>
    <w:rsid w:val="6B43739A"/>
    <w:rsid w:val="6B4A697B"/>
    <w:rsid w:val="6B655563"/>
    <w:rsid w:val="6B696C8B"/>
    <w:rsid w:val="6BA8544F"/>
    <w:rsid w:val="6BCA58C6"/>
    <w:rsid w:val="6BF6265F"/>
    <w:rsid w:val="6C0B610A"/>
    <w:rsid w:val="6C3C2767"/>
    <w:rsid w:val="6C784C9C"/>
    <w:rsid w:val="6C84478C"/>
    <w:rsid w:val="6CA803DE"/>
    <w:rsid w:val="6CAB34E9"/>
    <w:rsid w:val="6CD02EB0"/>
    <w:rsid w:val="6CEF5734"/>
    <w:rsid w:val="6CF748E0"/>
    <w:rsid w:val="6D0D1D19"/>
    <w:rsid w:val="6D1271E4"/>
    <w:rsid w:val="6D3F7339"/>
    <w:rsid w:val="6D5D5560"/>
    <w:rsid w:val="6D7F5357"/>
    <w:rsid w:val="6D9063A6"/>
    <w:rsid w:val="6D9640F9"/>
    <w:rsid w:val="6DD469CF"/>
    <w:rsid w:val="6DEA61F3"/>
    <w:rsid w:val="6DEE61A6"/>
    <w:rsid w:val="6E0A0CFE"/>
    <w:rsid w:val="6E46167B"/>
    <w:rsid w:val="6E512671"/>
    <w:rsid w:val="6E651479"/>
    <w:rsid w:val="6E7D39F8"/>
    <w:rsid w:val="6E932214"/>
    <w:rsid w:val="6EFC61DE"/>
    <w:rsid w:val="6F0F5F11"/>
    <w:rsid w:val="6F3F60CB"/>
    <w:rsid w:val="6F5B1C1E"/>
    <w:rsid w:val="6F605B79"/>
    <w:rsid w:val="6F765F90"/>
    <w:rsid w:val="6F820978"/>
    <w:rsid w:val="6FAB3044"/>
    <w:rsid w:val="6FAE648A"/>
    <w:rsid w:val="6FB46AB9"/>
    <w:rsid w:val="6FB93953"/>
    <w:rsid w:val="6FBB0F21"/>
    <w:rsid w:val="6FC22C75"/>
    <w:rsid w:val="6FD827A7"/>
    <w:rsid w:val="6FFB46E7"/>
    <w:rsid w:val="701E3F32"/>
    <w:rsid w:val="70310109"/>
    <w:rsid w:val="70441100"/>
    <w:rsid w:val="704B25A2"/>
    <w:rsid w:val="70761FC0"/>
    <w:rsid w:val="708446DD"/>
    <w:rsid w:val="70AE175A"/>
    <w:rsid w:val="70CD7788"/>
    <w:rsid w:val="70D576F2"/>
    <w:rsid w:val="70E4517B"/>
    <w:rsid w:val="70E64A50"/>
    <w:rsid w:val="71033854"/>
    <w:rsid w:val="7122399F"/>
    <w:rsid w:val="713536FF"/>
    <w:rsid w:val="713F4273"/>
    <w:rsid w:val="71474AA8"/>
    <w:rsid w:val="714B2A1C"/>
    <w:rsid w:val="715D01B7"/>
    <w:rsid w:val="71B77518"/>
    <w:rsid w:val="71C26BB2"/>
    <w:rsid w:val="71CB1E97"/>
    <w:rsid w:val="71D23226"/>
    <w:rsid w:val="71EA3CC0"/>
    <w:rsid w:val="7201691A"/>
    <w:rsid w:val="720D425E"/>
    <w:rsid w:val="72136023"/>
    <w:rsid w:val="723B701D"/>
    <w:rsid w:val="72975634"/>
    <w:rsid w:val="729C3AB6"/>
    <w:rsid w:val="72A72905"/>
    <w:rsid w:val="72C15774"/>
    <w:rsid w:val="72C35A5B"/>
    <w:rsid w:val="72D87D3A"/>
    <w:rsid w:val="72FA4241"/>
    <w:rsid w:val="73017376"/>
    <w:rsid w:val="73117D7E"/>
    <w:rsid w:val="736021FE"/>
    <w:rsid w:val="73836ECE"/>
    <w:rsid w:val="738A025C"/>
    <w:rsid w:val="738D38A8"/>
    <w:rsid w:val="7390329A"/>
    <w:rsid w:val="739369E5"/>
    <w:rsid w:val="73BB0416"/>
    <w:rsid w:val="73D17C39"/>
    <w:rsid w:val="73DE4104"/>
    <w:rsid w:val="73F2195D"/>
    <w:rsid w:val="743261FE"/>
    <w:rsid w:val="7439758C"/>
    <w:rsid w:val="743A2B40"/>
    <w:rsid w:val="74424693"/>
    <w:rsid w:val="74606D97"/>
    <w:rsid w:val="74D041C1"/>
    <w:rsid w:val="74E758C8"/>
    <w:rsid w:val="74FE38AE"/>
    <w:rsid w:val="751D1E9F"/>
    <w:rsid w:val="75294657"/>
    <w:rsid w:val="75390E31"/>
    <w:rsid w:val="75774810"/>
    <w:rsid w:val="75CF01A8"/>
    <w:rsid w:val="75D00540"/>
    <w:rsid w:val="75D34D53"/>
    <w:rsid w:val="75E73963"/>
    <w:rsid w:val="75EA2692"/>
    <w:rsid w:val="75F96FD3"/>
    <w:rsid w:val="761C0A73"/>
    <w:rsid w:val="763574CB"/>
    <w:rsid w:val="763E532E"/>
    <w:rsid w:val="764C557E"/>
    <w:rsid w:val="76522B87"/>
    <w:rsid w:val="7658034B"/>
    <w:rsid w:val="766A1C7F"/>
    <w:rsid w:val="7671300D"/>
    <w:rsid w:val="767C1D22"/>
    <w:rsid w:val="76885262"/>
    <w:rsid w:val="76BE1FCB"/>
    <w:rsid w:val="76F37EC6"/>
    <w:rsid w:val="76F8372F"/>
    <w:rsid w:val="770245AD"/>
    <w:rsid w:val="77112A42"/>
    <w:rsid w:val="77147E3D"/>
    <w:rsid w:val="77150947"/>
    <w:rsid w:val="77472401"/>
    <w:rsid w:val="775766A7"/>
    <w:rsid w:val="77813724"/>
    <w:rsid w:val="779075E5"/>
    <w:rsid w:val="77B07B65"/>
    <w:rsid w:val="77C90C27"/>
    <w:rsid w:val="784F3822"/>
    <w:rsid w:val="786D1EFA"/>
    <w:rsid w:val="78715B72"/>
    <w:rsid w:val="788A485A"/>
    <w:rsid w:val="78964FAD"/>
    <w:rsid w:val="789E20B4"/>
    <w:rsid w:val="78A21BA4"/>
    <w:rsid w:val="78AB5832"/>
    <w:rsid w:val="78AC47D1"/>
    <w:rsid w:val="78AF777E"/>
    <w:rsid w:val="78BD078C"/>
    <w:rsid w:val="78E35D19"/>
    <w:rsid w:val="78FB5758"/>
    <w:rsid w:val="79347716"/>
    <w:rsid w:val="793B7903"/>
    <w:rsid w:val="79D833A4"/>
    <w:rsid w:val="79D95BF8"/>
    <w:rsid w:val="79EF706B"/>
    <w:rsid w:val="79F91C98"/>
    <w:rsid w:val="7A066163"/>
    <w:rsid w:val="7A111799"/>
    <w:rsid w:val="7A2605B3"/>
    <w:rsid w:val="7A293BFF"/>
    <w:rsid w:val="7A7A1CC5"/>
    <w:rsid w:val="7AA8546C"/>
    <w:rsid w:val="7AB07EC6"/>
    <w:rsid w:val="7AC10ED1"/>
    <w:rsid w:val="7ADD5115"/>
    <w:rsid w:val="7AE04C06"/>
    <w:rsid w:val="7AFC101B"/>
    <w:rsid w:val="7B5F3D7C"/>
    <w:rsid w:val="7B6C1FF5"/>
    <w:rsid w:val="7B713AB0"/>
    <w:rsid w:val="7B76124A"/>
    <w:rsid w:val="7B825CBD"/>
    <w:rsid w:val="7B872E86"/>
    <w:rsid w:val="7B8862EC"/>
    <w:rsid w:val="7B8E4662"/>
    <w:rsid w:val="7BC462D5"/>
    <w:rsid w:val="7BC71922"/>
    <w:rsid w:val="7BC9569A"/>
    <w:rsid w:val="7BFC15CB"/>
    <w:rsid w:val="7C09018C"/>
    <w:rsid w:val="7C26489A"/>
    <w:rsid w:val="7C32323F"/>
    <w:rsid w:val="7C5A2796"/>
    <w:rsid w:val="7C626297"/>
    <w:rsid w:val="7C743857"/>
    <w:rsid w:val="7D20753B"/>
    <w:rsid w:val="7D3B25C7"/>
    <w:rsid w:val="7D3B6123"/>
    <w:rsid w:val="7D4B40E2"/>
    <w:rsid w:val="7D7259C8"/>
    <w:rsid w:val="7DA4081B"/>
    <w:rsid w:val="7DD035AC"/>
    <w:rsid w:val="7DD6409E"/>
    <w:rsid w:val="7DD65E4C"/>
    <w:rsid w:val="7DF509C8"/>
    <w:rsid w:val="7E054271"/>
    <w:rsid w:val="7E2364DE"/>
    <w:rsid w:val="7E416358"/>
    <w:rsid w:val="7E4E00D8"/>
    <w:rsid w:val="7E5637D7"/>
    <w:rsid w:val="7E5A648D"/>
    <w:rsid w:val="7EA62D8A"/>
    <w:rsid w:val="7EDA0769"/>
    <w:rsid w:val="7EDB2A22"/>
    <w:rsid w:val="7EF5411C"/>
    <w:rsid w:val="7EFF4F05"/>
    <w:rsid w:val="7F0B5FDD"/>
    <w:rsid w:val="7F142757"/>
    <w:rsid w:val="7F177E9D"/>
    <w:rsid w:val="7F231565"/>
    <w:rsid w:val="7F585A78"/>
    <w:rsid w:val="7F683E22"/>
    <w:rsid w:val="7F726CC2"/>
    <w:rsid w:val="7F7726AD"/>
    <w:rsid w:val="7F9A1257"/>
    <w:rsid w:val="7FCB7C32"/>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ind w:left="200" w:leftChars="200" w:firstLine="420" w:firstLineChars="200"/>
    </w:pPr>
    <w:rPr>
      <w:rFonts w:ascii="Times New Roman"/>
    </w:rPr>
  </w:style>
  <w:style w:type="paragraph" w:styleId="3">
    <w:name w:val="Body Text Indent"/>
    <w:basedOn w:val="1"/>
    <w:next w:val="4"/>
    <w:qFormat/>
    <w:uiPriority w:val="99"/>
    <w:pPr>
      <w:ind w:left="420"/>
    </w:pPr>
    <w:rPr>
      <w:rFonts w:ascii="仿宋_GB2312" w:eastAsia="仿宋_GB2312"/>
      <w:sz w:val="32"/>
    </w:rPr>
  </w:style>
  <w:style w:type="paragraph" w:styleId="4">
    <w:name w:val="envelope return"/>
    <w:basedOn w:val="1"/>
    <w:unhideWhenUsed/>
    <w:qFormat/>
    <w:uiPriority w:val="99"/>
    <w:pPr>
      <w:snapToGrid w:val="0"/>
    </w:pPr>
    <w:rPr>
      <w:rFonts w:ascii="Arial" w:hAnsi="Arial"/>
    </w:rPr>
  </w:style>
  <w:style w:type="paragraph" w:styleId="9">
    <w:name w:val="annotation text"/>
    <w:basedOn w:val="1"/>
    <w:qFormat/>
    <w:uiPriority w:val="0"/>
    <w:pPr>
      <w:jc w:val="left"/>
    </w:pPr>
  </w:style>
  <w:style w:type="paragraph" w:styleId="10">
    <w:name w:val="Body Text"/>
    <w:basedOn w:val="1"/>
    <w:next w:val="11"/>
    <w:qFormat/>
    <w:uiPriority w:val="0"/>
    <w:pPr>
      <w:spacing w:after="120" w:afterLines="0"/>
    </w:pPr>
  </w:style>
  <w:style w:type="paragraph" w:styleId="11">
    <w:name w:val="Date"/>
    <w:basedOn w:val="1"/>
    <w:next w:val="1"/>
    <w:qFormat/>
    <w:uiPriority w:val="99"/>
    <w:pPr>
      <w:widowControl w:val="0"/>
      <w:jc w:val="both"/>
    </w:pPr>
    <w:rPr>
      <w:rFonts w:ascii="Times New Roman" w:hAnsi="Times New Roman" w:eastAsia="宋体" w:cs="Times New Roman"/>
      <w:kern w:val="2"/>
      <w:sz w:val="24"/>
      <w:szCs w:val="24"/>
      <w:lang w:val="en-US" w:eastAsia="zh-CN" w:bidi="ar-SA"/>
    </w:rPr>
  </w:style>
  <w:style w:type="paragraph" w:styleId="12">
    <w:name w:val="Plain Text"/>
    <w:basedOn w:val="1"/>
    <w:qFormat/>
    <w:uiPriority w:val="99"/>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6"/>
    <w:basedOn w:val="1"/>
    <w:next w:val="1"/>
    <w:qFormat/>
    <w:uiPriority w:val="0"/>
    <w:pPr>
      <w:widowControl w:val="0"/>
      <w:ind w:left="2100" w:leftChars="1000"/>
      <w:jc w:val="both"/>
    </w:pPr>
    <w:rPr>
      <w:rFonts w:ascii="Times New Roman" w:hAnsi="Times New Roman" w:eastAsia="宋体" w:cs="Times New Roman"/>
      <w:kern w:val="2"/>
      <w:sz w:val="21"/>
      <w:szCs w:val="24"/>
      <w:lang w:val="en-US" w:eastAsia="zh-CN" w:bidi="ar-SA"/>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10"/>
    <w:next w:val="15"/>
    <w:qFormat/>
    <w:uiPriority w:val="0"/>
    <w:pPr>
      <w:widowControl w:val="0"/>
      <w:spacing w:line="380" w:lineRule="exact"/>
      <w:ind w:firstLine="420" w:firstLineChars="100"/>
      <w:jc w:val="both"/>
    </w:pPr>
    <w:rPr>
      <w:rFonts w:ascii="Times New Roman" w:hAnsi="Times New Roman" w:eastAsia="宋体" w:cs="Times New Roman"/>
      <w:kern w:val="2"/>
      <w:sz w:val="24"/>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rFonts w:cs="Times New Roman"/>
      <w:b/>
    </w:rPr>
  </w:style>
  <w:style w:type="character" w:styleId="22">
    <w:name w:val="FollowedHyperlink"/>
    <w:basedOn w:val="20"/>
    <w:qFormat/>
    <w:uiPriority w:val="0"/>
    <w:rPr>
      <w:color w:val="800080"/>
      <w:u w:val="none"/>
    </w:rPr>
  </w:style>
  <w:style w:type="character" w:styleId="23">
    <w:name w:val="Emphasis"/>
    <w:basedOn w:val="20"/>
    <w:qFormat/>
    <w:uiPriority w:val="0"/>
    <w:rPr>
      <w:i/>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rFonts w:ascii="Calibri" w:hAnsi="Calibri" w:eastAsia="宋体"/>
      <w:color w:val="0563C1" w:themeColor="hyperlink"/>
      <w:u w:val="none"/>
      <w14:textFill>
        <w14:solidFill>
          <w14:schemeClr w14:val="hlink"/>
        </w14:solidFill>
      </w14:textFill>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ascii="monospace" w:hAnsi="monospace" w:eastAsia="monospace" w:cs="monospace"/>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4">
    <w:name w:val="正文-公1"/>
    <w:basedOn w:val="1"/>
    <w:qFormat/>
    <w:uiPriority w:val="0"/>
    <w:pPr>
      <w:ind w:firstLine="200" w:firstLineChars="200"/>
    </w:pPr>
  </w:style>
  <w:style w:type="paragraph" w:customStyle="1" w:styleId="35">
    <w:name w:val="Fließtext"/>
    <w:basedOn w:val="1"/>
    <w:qFormat/>
    <w:uiPriority w:val="99"/>
    <w:pPr>
      <w:overflowPunct w:val="0"/>
      <w:autoSpaceDE w:val="0"/>
      <w:autoSpaceDN w:val="0"/>
      <w:adjustRightInd w:val="0"/>
      <w:textAlignment w:val="baseline"/>
    </w:pPr>
    <w:rPr>
      <w:kern w:val="28"/>
    </w:rPr>
  </w:style>
  <w:style w:type="paragraph" w:customStyle="1" w:styleId="36">
    <w:name w:val="正文首缩两字"/>
    <w:basedOn w:val="1"/>
    <w:qFormat/>
    <w:uiPriority w:val="0"/>
    <w:pPr>
      <w:spacing w:line="360" w:lineRule="auto"/>
      <w:ind w:firstLine="200" w:firstLineChars="200"/>
    </w:pPr>
    <w:rPr>
      <w:rFonts w:ascii="Verdana" w:hAnsi="Verdana"/>
      <w:sz w:val="24"/>
    </w:rPr>
  </w:style>
  <w:style w:type="paragraph" w:customStyle="1" w:styleId="37">
    <w:name w:val="null3"/>
    <w:hidden/>
    <w:qFormat/>
    <w:uiPriority w:val="0"/>
    <w:rPr>
      <w:rFonts w:hint="eastAsia" w:asciiTheme="minorHAnsi" w:hAnsiTheme="minorHAnsi" w:eastAsiaTheme="minorEastAsia" w:cstheme="minorBidi"/>
      <w:lang w:val="en-US" w:eastAsia="zh-Hans"/>
    </w:rPr>
  </w:style>
  <w:style w:type="character" w:customStyle="1" w:styleId="38">
    <w:name w:val="NormalCharacter"/>
    <w:link w:val="39"/>
    <w:qFormat/>
    <w:uiPriority w:val="0"/>
  </w:style>
  <w:style w:type="paragraph" w:customStyle="1" w:styleId="39">
    <w:name w:val="UserStyle_5"/>
    <w:basedOn w:val="1"/>
    <w:link w:val="38"/>
    <w:qFormat/>
    <w:uiPriority w:val="0"/>
    <w:pPr>
      <w:widowControl/>
      <w:spacing w:after="160" w:line="240" w:lineRule="exact"/>
      <w:jc w:val="left"/>
      <w:textAlignment w:val="baseline"/>
    </w:pPr>
  </w:style>
  <w:style w:type="character" w:customStyle="1" w:styleId="40">
    <w:name w:val="first-child"/>
    <w:basedOn w:val="20"/>
    <w:qFormat/>
    <w:uiPriority w:val="0"/>
  </w:style>
  <w:style w:type="character" w:customStyle="1" w:styleId="41">
    <w:name w:val="layui-layer-tabnow"/>
    <w:basedOn w:val="20"/>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22992</Words>
  <Characters>24024</Characters>
  <Lines>0</Lines>
  <Paragraphs>0</Paragraphs>
  <TotalTime>0</TotalTime>
  <ScaleCrop>false</ScaleCrop>
  <LinksUpToDate>false</LinksUpToDate>
  <CharactersWithSpaces>24151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2023-01-29T07:33:00Z</dcterms:created>
  <dc:creator>NTKO</dc:creator>
  <cp:lastModifiedBy>最佳男一</cp:lastModifiedBy>
  <cp:lastPrinted>2025-04-28T09:37:00Z</cp:lastPrinted>
  <dcterms:modified xsi:type="dcterms:W3CDTF">2025-05-09T09:49:35Z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C48932D834EA41C2B3BB20B94A381F16_13</vt:lpwstr>
  </property>
  <property fmtid="{D5CDD505-2E9C-101B-9397-08002B2CF9AE}" pid="4" name="KSOTemplateDocerSaveRecord">
    <vt:lpwstr>eyJoZGlkIjoiY2RkZDg5ZDE2ZDZhYzMzYTBjZTYxNTJkZDRmNzE5NDQiLCJ1c2VySWQiOiIyNDg0MjMwOTgifQ==</vt:lpwstr>
  </property>
</Properties>
</file>